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834F2D" w14:textId="77777777" w:rsidR="00834E34" w:rsidRDefault="00E0544B">
      <w:pPr>
        <w:spacing w:before="240" w:after="240" w:line="276" w:lineRule="auto"/>
        <w:ind w:right="35"/>
        <w:jc w:val="center"/>
        <w:rPr>
          <w:b/>
          <w:bCs/>
          <w:sz w:val="28"/>
          <w:szCs w:val="28"/>
        </w:rPr>
      </w:pPr>
      <w:r>
        <w:rPr>
          <w:b/>
          <w:bCs/>
          <w:sz w:val="28"/>
          <w:szCs w:val="28"/>
        </w:rPr>
        <w:t>COMPARACIÓN DE LA CALIDAD DEL ASESORAMIENTO ENTRE DIFERENTES INTELIGENCIAS ARTIFICIALES ACCESIBLES VÍA NAVEGADORES WEB</w:t>
      </w:r>
    </w:p>
    <w:p w14:paraId="39813D7A" w14:textId="77777777" w:rsidR="00834E34" w:rsidRDefault="00E0544B">
      <w:pPr>
        <w:pBdr>
          <w:top w:val="nil"/>
          <w:left w:val="nil"/>
          <w:bottom w:val="nil"/>
          <w:right w:val="nil"/>
          <w:between w:val="nil"/>
        </w:pBdr>
        <w:spacing w:before="0"/>
        <w:ind w:right="35"/>
        <w:jc w:val="center"/>
        <w:rPr>
          <w:b/>
          <w:bCs/>
          <w:color w:val="000000"/>
          <w:sz w:val="24"/>
          <w:szCs w:val="24"/>
        </w:rPr>
      </w:pPr>
      <w:r>
        <w:rPr>
          <w:b/>
          <w:bCs/>
          <w:sz w:val="24"/>
          <w:szCs w:val="24"/>
        </w:rPr>
        <w:t>Jacinto Leonardo Caro Morales</w:t>
      </w:r>
      <w:r>
        <w:rPr>
          <w:b/>
          <w:bCs/>
          <w:sz w:val="24"/>
          <w:szCs w:val="24"/>
          <w:vertAlign w:val="superscript"/>
        </w:rPr>
        <w:t>1</w:t>
      </w:r>
      <w:r>
        <w:rPr>
          <w:b/>
          <w:bCs/>
          <w:color w:val="000000"/>
          <w:sz w:val="24"/>
          <w:szCs w:val="24"/>
        </w:rPr>
        <w:t xml:space="preserve">, </w:t>
      </w:r>
      <w:r>
        <w:rPr>
          <w:b/>
          <w:bCs/>
          <w:sz w:val="24"/>
          <w:szCs w:val="24"/>
        </w:rPr>
        <w:t>Mitzi Narumy Pérez González</w:t>
      </w:r>
      <w:r>
        <w:rPr>
          <w:b/>
          <w:bCs/>
          <w:color w:val="000000"/>
          <w:sz w:val="24"/>
          <w:szCs w:val="24"/>
          <w:vertAlign w:val="superscript"/>
        </w:rPr>
        <w:t xml:space="preserve"> </w:t>
      </w:r>
      <w:r>
        <w:rPr>
          <w:b/>
          <w:bCs/>
          <w:sz w:val="24"/>
          <w:szCs w:val="24"/>
          <w:vertAlign w:val="superscript"/>
        </w:rPr>
        <w:t>1</w:t>
      </w:r>
      <w:r>
        <w:rPr>
          <w:b/>
          <w:bCs/>
          <w:sz w:val="24"/>
          <w:szCs w:val="24"/>
        </w:rPr>
        <w:t>, Daniel León Neriz</w:t>
      </w:r>
      <w:r>
        <w:rPr>
          <w:b/>
          <w:bCs/>
          <w:sz w:val="24"/>
          <w:szCs w:val="24"/>
          <w:vertAlign w:val="superscript"/>
        </w:rPr>
        <w:t>1</w:t>
      </w:r>
      <w:r>
        <w:rPr>
          <w:b/>
          <w:bCs/>
          <w:sz w:val="24"/>
          <w:szCs w:val="24"/>
        </w:rPr>
        <w:t>, Francisco Daniel Caro Morales</w:t>
      </w:r>
      <w:r>
        <w:rPr>
          <w:b/>
          <w:bCs/>
          <w:sz w:val="24"/>
          <w:szCs w:val="24"/>
          <w:vertAlign w:val="superscript"/>
        </w:rPr>
        <w:t>1</w:t>
      </w:r>
    </w:p>
    <w:p w14:paraId="2E2039C7" w14:textId="77777777" w:rsidR="00834E34" w:rsidRDefault="00E0544B">
      <w:pPr>
        <w:pBdr>
          <w:top w:val="nil"/>
          <w:left w:val="nil"/>
          <w:bottom w:val="nil"/>
          <w:right w:val="nil"/>
          <w:between w:val="nil"/>
        </w:pBdr>
        <w:spacing w:before="0" w:after="0"/>
        <w:ind w:right="35"/>
        <w:jc w:val="center"/>
        <w:rPr>
          <w:i/>
          <w:iCs/>
          <w:sz w:val="22"/>
          <w:szCs w:val="22"/>
        </w:rPr>
      </w:pPr>
      <w:r>
        <w:rPr>
          <w:i/>
          <w:iCs/>
          <w:sz w:val="22"/>
          <w:szCs w:val="22"/>
          <w:vertAlign w:val="superscript"/>
        </w:rPr>
        <w:t>1</w:t>
      </w:r>
      <w:r>
        <w:rPr>
          <w:i/>
          <w:iCs/>
          <w:sz w:val="22"/>
          <w:szCs w:val="22"/>
        </w:rPr>
        <w:t>Universidad Autónoma de Sinaloa (MÉXICO)</w:t>
      </w:r>
    </w:p>
    <w:p w14:paraId="25555392" w14:textId="77777777" w:rsidR="00834E34" w:rsidRDefault="00E0544B">
      <w:pPr>
        <w:pStyle w:val="Ttulo"/>
        <w:widowControl w:val="0"/>
        <w:ind w:right="35"/>
      </w:pPr>
      <w:r>
        <w:t xml:space="preserve">Resumen </w:t>
      </w:r>
    </w:p>
    <w:p w14:paraId="5573DE6E" w14:textId="77777777" w:rsidR="00834E34" w:rsidRDefault="00E0544B">
      <w:pPr>
        <w:widowControl w:val="0"/>
        <w:shd w:val="clear" w:color="auto" w:fill="FFFFFF"/>
        <w:spacing w:before="240" w:after="240"/>
        <w:rPr>
          <w:color w:val="0F1115"/>
        </w:rPr>
      </w:pPr>
      <w:r>
        <w:rPr>
          <w:color w:val="0F1115"/>
        </w:rPr>
        <w:t>Este estudio compara el desempeño, capacidades y limitaciones de cuatro modelos de inteligencia artificial generativa ampliamente utilizados: ChatGPT, Google Gemini, DeepSeek y Kimi. La evaluación se basó en criterios como arquitectura, seguridad de datos, acceso a información, precisión, capacidades lingüísticas, experiencia de usuario y restricciones éticas. La metodología combinó el análisis de respuestas directas a un conjunto estandarizado de preguntas con una revisión documental técnica. Los resultados revelan diferencias significativas en el enfoque de cada modelo: ChatGPT sobresale en razonamiento contextual y equilibrio ético; Gemini, en acceso a información e integración con servicios Google; DeepSeek, en eficiencia computacional y análisis técnico; y Kimi, en adaptación cultural al mercado asiático y alineación política con su entorno. La investigación concluye que no existe un modelo "mejor" de manera universal, sino que la elección óptima depende del propósito de uso específico.</w:t>
      </w:r>
    </w:p>
    <w:p w14:paraId="59290C5C" w14:textId="77777777" w:rsidR="00834E34" w:rsidRDefault="00E0544B">
      <w:pPr>
        <w:widowControl w:val="0"/>
        <w:shd w:val="clear" w:color="auto" w:fill="FFFFFF"/>
        <w:spacing w:before="240" w:after="240"/>
      </w:pPr>
      <w:r>
        <w:rPr>
          <w:color w:val="0F1115"/>
        </w:rPr>
        <w:t>Palabras clave: ChatGPT, DeepSeek, Gemini, inteligencia artificial, Kimi, modelos generativos.</w:t>
      </w:r>
    </w:p>
    <w:p w14:paraId="16CBFC91" w14:textId="77777777" w:rsidR="00834E34" w:rsidRPr="00C84D19" w:rsidRDefault="00E0544B">
      <w:pPr>
        <w:pStyle w:val="Ttulo"/>
        <w:widowControl w:val="0"/>
        <w:ind w:right="35"/>
        <w:rPr>
          <w:lang w:val="en-US"/>
        </w:rPr>
      </w:pPr>
      <w:r w:rsidRPr="00C84D19">
        <w:rPr>
          <w:lang w:val="en-US"/>
        </w:rPr>
        <w:t xml:space="preserve">Abstract </w:t>
      </w:r>
    </w:p>
    <w:p w14:paraId="2AA503AB" w14:textId="77777777" w:rsidR="00834E34" w:rsidRPr="00C84D19" w:rsidRDefault="00E0544B">
      <w:pPr>
        <w:widowControl w:val="0"/>
        <w:ind w:right="35"/>
        <w:rPr>
          <w:lang w:val="en-US"/>
        </w:rPr>
      </w:pPr>
      <w:r w:rsidRPr="00C84D19">
        <w:rPr>
          <w:lang w:val="en-US"/>
        </w:rPr>
        <w:t>This study compares the performance, capabilities, and limitations of four widely used generative artificial intelligence models: ChatGPT, Google Gemini, DeepSeek, and Kimi. The evaluation was based on criteria such as architecture, data security, information access, accuracy, linguistic capabilities, user experience, and ethical constraints. The methodology combined the analysis of direct responses to a standardized set of questions with a review of technical literature. The results reveal significant differences in each model's approach: ChatGPT excels in contextual reasoning and ethical balance; Gemini, in information access and integration with Google services; DeepSeek, in computational efficiency and technical analysis; and Kimi, in cultural adaptation to the Asian market and political alignment with its environment. The research concludes that there is no single "best" model universally, but rather that the optimal choice depends on the specific intended use.</w:t>
      </w:r>
    </w:p>
    <w:p w14:paraId="178A8B6B" w14:textId="77777777" w:rsidR="00834E34" w:rsidRPr="00C84D19" w:rsidRDefault="00E0544B">
      <w:pPr>
        <w:widowControl w:val="0"/>
        <w:ind w:right="35"/>
        <w:rPr>
          <w:lang w:val="en-US"/>
        </w:rPr>
      </w:pPr>
      <w:r w:rsidRPr="00C84D19">
        <w:rPr>
          <w:lang w:val="en-US"/>
        </w:rPr>
        <w:t>Keywords: Artificial intelligence, ChatGPT, DeepSeek, Generative models, Gemini, Kimi.</w:t>
      </w:r>
      <w:r w:rsidRPr="00C84D19">
        <w:rPr>
          <w:lang w:val="en-US"/>
        </w:rPr>
        <w:tab/>
      </w:r>
    </w:p>
    <w:p w14:paraId="3913489C" w14:textId="77777777" w:rsidR="00834E34" w:rsidRDefault="00E0544B">
      <w:pPr>
        <w:pStyle w:val="Ttulo1"/>
        <w:widowControl w:val="0"/>
        <w:numPr>
          <w:ilvl w:val="0"/>
          <w:numId w:val="1"/>
        </w:numPr>
      </w:pPr>
      <w:r>
        <w:t>INTRODUCCIÓN</w:t>
      </w:r>
    </w:p>
    <w:p w14:paraId="33D5601D" w14:textId="77777777" w:rsidR="00834E34" w:rsidRDefault="00E0544B">
      <w:pPr>
        <w:widowControl w:val="0"/>
        <w:ind w:right="35"/>
      </w:pPr>
      <w:r>
        <w:t xml:space="preserve">La incorporación de las tecnologías digitales como parte de los procesos educativos es hoy en día un hecho inevitable. A través de la web e incluso aplicaciones móviles, sistemas como ChatGPT, Gemini, DeepSeek y Kimi ofrecen asistencia inmediata en áreas tan diversas como la educación, la salud, la tecnología y la vida cotidiana [1]. Su capacidad para generar respuestas coherentes y contextualizadas las posiciona como aliadas en la búsqueda de información, la resolución de problemas e incluso en la toma de decisiones. Sin embargo, este crecimiento acelerado y la diversidad de modelos disponibles plantean una cuestión esencial: no todos los sistemas ofrecen el mismo nivel de calidad en sus respuestas. La precisión, utilidad, claridad y satisfacción que proporcionan pueden variar significativamente entre una plataforma y otra, lo que afecta directamente la experiencia y confianza del usuario. Ahora, ante esta situación, nos resulta interesante y </w:t>
      </w:r>
      <w:proofErr w:type="gramStart"/>
      <w:r>
        <w:t>necesario  comparar</w:t>
      </w:r>
      <w:proofErr w:type="gramEnd"/>
      <w:r>
        <w:t xml:space="preserve"> de forma organizada, para saber cuál de estas </w:t>
      </w:r>
      <w:r>
        <w:lastRenderedPageBreak/>
        <w:t>inteligencias artificiales es la que realmente nos da el mejor consejo, uno que sea confiable y que de verdad nos sirva dependiendo el enfoque que necesitamos [2].</w:t>
      </w:r>
    </w:p>
    <w:p w14:paraId="1BD51167" w14:textId="77777777" w:rsidR="00834E34" w:rsidRDefault="00E0544B">
      <w:pPr>
        <w:widowControl w:val="0"/>
        <w:ind w:right="35"/>
      </w:pPr>
      <w:bookmarkStart w:id="0" w:name="_cw7fz6wmztz3" w:colFirst="0" w:colLast="0"/>
      <w:bookmarkEnd w:id="0"/>
      <w:r>
        <w:t>Ante este escenario, la presente investigación compara de manera rigurosa la calidad del asesoramiento ofrecido por distintos modelos de IA accesibles vía navegador, evalúa aspectos clave como la exactitud de la información, la relevancia de las respuestas y la percepción de quienes las utilizan. A través de un diseño metodológico cuantitativo y cualitativo, este estudio pretende esclarecer cuál de estas herramientas ofrece un mejor desempeño y aporta evidencia valiosa para orientar a los usuarios en su elección y uso cotidiano de estas tecnologías [3].</w:t>
      </w:r>
    </w:p>
    <w:p w14:paraId="5809603A" w14:textId="77777777" w:rsidR="00834E34" w:rsidRDefault="00E0544B">
      <w:pPr>
        <w:pStyle w:val="Ttulo2"/>
        <w:keepNext w:val="0"/>
        <w:widowControl w:val="0"/>
        <w:numPr>
          <w:ilvl w:val="1"/>
          <w:numId w:val="1"/>
        </w:numPr>
        <w:spacing w:before="120" w:after="120"/>
      </w:pPr>
      <w:r>
        <w:t>Fundamentos de sistemas de diálogo</w:t>
      </w:r>
    </w:p>
    <w:p w14:paraId="7ABD79AB" w14:textId="77777777" w:rsidR="00834E34" w:rsidRDefault="00E0544B">
      <w:pPr>
        <w:pStyle w:val="Ttulo3"/>
        <w:widowControl w:val="0"/>
        <w:numPr>
          <w:ilvl w:val="2"/>
          <w:numId w:val="1"/>
        </w:numPr>
        <w:spacing w:before="120" w:after="120"/>
      </w:pPr>
      <w:bookmarkStart w:id="1" w:name="_4oszzes2lufh" w:colFirst="0" w:colLast="0"/>
      <w:bookmarkEnd w:id="1"/>
      <w:r>
        <w:t>Definición y cómo funciona en entornos conversacionales</w:t>
      </w:r>
    </w:p>
    <w:p w14:paraId="51F184D7" w14:textId="77777777" w:rsidR="00834E34" w:rsidRDefault="00E0544B">
      <w:pPr>
        <w:widowControl w:val="0"/>
        <w:tabs>
          <w:tab w:val="left" w:pos="567"/>
        </w:tabs>
        <w:ind w:right="35"/>
      </w:pPr>
      <w:r>
        <w:t>Los sistemas de diálogo son tecnologías que permiten a los usuarios interactuar con un sistema computacional mediante lenguaje natural. Estos sistemas analizan, procesan y generan respuestas para mantener una comunicación coherente. Su funcionamiento se apoya en componentes como el reconocimiento del lenguaje natural, el seguimiento del estado del diálogo, la gestión del diálogo y la generación del lenguaje, los cuales trabajan de forma integrada para interpretar intenciones y producir respuestas adecuadas [4].</w:t>
      </w:r>
    </w:p>
    <w:p w14:paraId="3981FF5A" w14:textId="77777777" w:rsidR="00834E34" w:rsidRDefault="00E0544B">
      <w:pPr>
        <w:pStyle w:val="Ttulo3"/>
        <w:widowControl w:val="0"/>
        <w:numPr>
          <w:ilvl w:val="2"/>
          <w:numId w:val="1"/>
        </w:numPr>
        <w:spacing w:before="120" w:after="120"/>
        <w:ind w:right="35"/>
      </w:pPr>
      <w:bookmarkStart w:id="2" w:name="_4ki2uobgj7p9" w:colFirst="0" w:colLast="0"/>
      <w:bookmarkEnd w:id="2"/>
      <w:r>
        <w:t>Modalidades de asesoramiento</w:t>
      </w:r>
    </w:p>
    <w:p w14:paraId="4B2DF1F7" w14:textId="77777777" w:rsidR="00834E34" w:rsidRDefault="00E0544B">
      <w:pPr>
        <w:widowControl w:val="0"/>
        <w:tabs>
          <w:tab w:val="left" w:pos="567"/>
        </w:tabs>
        <w:ind w:right="35"/>
      </w:pPr>
      <w:r>
        <w:t xml:space="preserve">De acuerdo con la literatura sobre sistemas de soporte a decisiones, estos proporcionan recomendaciones o análisis destinados a asistir a los usuarios en la toma de decisiones informadas y técnicamente fundamentadas [5]. Su función es ofrecer orientación precisa y relacionada con tareas o procesos que requieren conocimientos técnicos. Los sistemas de apoyo a la toma de decisiones (DSS) basados ​​en IA desempeñan un papel crucial en este paradigma al mejorar la integración y el procesamiento de datos de </w:t>
      </w:r>
      <w:proofErr w:type="spellStart"/>
      <w:r>
        <w:t>IoT</w:t>
      </w:r>
      <w:proofErr w:type="spellEnd"/>
      <w:r>
        <w:t xml:space="preserve"> y de sensores para optimizar las operaciones, mejorar la productividad y permitir el mantenimiento predictivo [6].</w:t>
      </w:r>
    </w:p>
    <w:p w14:paraId="3CA87B81" w14:textId="77777777" w:rsidR="00834E34" w:rsidRDefault="00E0544B">
      <w:pPr>
        <w:widowControl w:val="0"/>
        <w:tabs>
          <w:tab w:val="left" w:pos="567"/>
        </w:tabs>
        <w:ind w:right="35"/>
      </w:pPr>
      <w:r>
        <w:t>El asesoramiento académico apoyado por IA se refiere al uso de herramientas inteligentes, especialmente modelos de lenguaje generativo, para asistir en la orientación educativa. Este tipo de asesoramiento brinda explicaciones, referencias teóricas, apoyo para trabajos académicos y acompañamiento en actividades de aprendizaje [7], [8]. La inteligencia artificial generativa tiene un potencial significativo como recurso didáctico en la educación superior, ofreciendo acompañamiento académico y personalización del aprendizaje [9].</w:t>
      </w:r>
    </w:p>
    <w:p w14:paraId="2696D77C" w14:textId="77777777" w:rsidR="00834E34" w:rsidRDefault="00E0544B">
      <w:pPr>
        <w:widowControl w:val="0"/>
        <w:tabs>
          <w:tab w:val="left" w:pos="567"/>
        </w:tabs>
        <w:ind w:right="35"/>
      </w:pPr>
      <w:r>
        <w:t>El asesoramiento profesional comprende las recomendaciones que un sistema de IA emite hacia una persona que toma decisiones dentro de su entorno laboral. En este ámbito, la IA funciona como una fuente de consulta que influye en la eficiencia, la organización del trabajo y la calidad de las decisiones, tomando un papel que antes ocupaban consultores o personas expertas. La Inteligencia Artificial Generativa se perfila como una herramienta prometedora para mejorar la toma de decisiones estratégicas en un entorno empresarial caracterizado por una creciente complejidad [10].</w:t>
      </w:r>
    </w:p>
    <w:p w14:paraId="03D57ECD" w14:textId="77777777" w:rsidR="00834E34" w:rsidRDefault="00E0544B">
      <w:pPr>
        <w:widowControl w:val="0"/>
        <w:tabs>
          <w:tab w:val="left" w:pos="567"/>
        </w:tabs>
        <w:ind w:right="35"/>
        <w:rPr>
          <w:b/>
          <w:bCs/>
        </w:rPr>
      </w:pPr>
      <w:r>
        <w:t>El asesoramiento general implica que la IA actúe como una fuente amplia de consulta para ayudar a las personas a tomar decisiones cotidianas. Este tipo de orientación abarca múltiples áreas, ya que ofrece consejos en campos donde tradicionalmente intervienen especialistas, como la economía, la seguridad, la salud o la vida diaria [1], [3], [6].</w:t>
      </w:r>
    </w:p>
    <w:p w14:paraId="306E2E47" w14:textId="77777777" w:rsidR="00834E34" w:rsidRDefault="00E0544B">
      <w:pPr>
        <w:pStyle w:val="Ttulo3"/>
        <w:widowControl w:val="0"/>
        <w:numPr>
          <w:ilvl w:val="2"/>
          <w:numId w:val="1"/>
        </w:numPr>
        <w:ind w:right="35"/>
      </w:pPr>
      <w:bookmarkStart w:id="3" w:name="_b77qno94bmar" w:colFirst="0" w:colLast="0"/>
      <w:bookmarkEnd w:id="3"/>
      <w:r>
        <w:t>Accesibilidad y flexibilidad de uso según el registro</w:t>
      </w:r>
    </w:p>
    <w:p w14:paraId="0DF22F4A" w14:textId="77777777" w:rsidR="00834E34" w:rsidRDefault="00E0544B">
      <w:pPr>
        <w:widowControl w:val="0"/>
        <w:tabs>
          <w:tab w:val="left" w:pos="567"/>
        </w:tabs>
        <w:ind w:right="35"/>
        <w:rPr>
          <w:b/>
          <w:bCs/>
        </w:rPr>
      </w:pPr>
      <w:r>
        <w:rPr>
          <w:color w:val="0F1115"/>
          <w:highlight w:val="white"/>
        </w:rPr>
        <w:t xml:space="preserve">Muchas aplicaciones y sistemas ofrecen versiones gratuitas o períodos de prueba para que los usuarios experimenten el valor central del producto antes de pedirles que se registren o paguen y priorizar una experiencia fluida desde el primer momento, es clave para la retención así como la facilidad de uso percibida y el marco teórico TAM que </w:t>
      </w:r>
      <w:r>
        <w:t>son factores clave para la adopción de ChatGPT en educación superior. Dado esto, si ChatGPT permite un uso inicial con barrera de registro muy reducida, esa característica podría mejorar su forma de uso al evitar que los usuarios sientan que deben vincular su identidad desde el principio [11].</w:t>
      </w:r>
    </w:p>
    <w:p w14:paraId="1F0CE707" w14:textId="77777777" w:rsidR="00834E34" w:rsidRDefault="00E0544B">
      <w:pPr>
        <w:widowControl w:val="0"/>
        <w:tabs>
          <w:tab w:val="left" w:pos="567"/>
        </w:tabs>
        <w:ind w:right="35"/>
      </w:pPr>
      <w:r>
        <w:t xml:space="preserve">En el estudio </w:t>
      </w:r>
      <w:r>
        <w:rPr>
          <w:i/>
          <w:iCs/>
        </w:rPr>
        <w:t>“</w:t>
      </w:r>
      <w:proofErr w:type="spellStart"/>
      <w:r>
        <w:rPr>
          <w:i/>
          <w:iCs/>
        </w:rPr>
        <w:t>User</w:t>
      </w:r>
      <w:proofErr w:type="spellEnd"/>
      <w:r>
        <w:rPr>
          <w:i/>
          <w:iCs/>
        </w:rPr>
        <w:t xml:space="preserve"> </w:t>
      </w:r>
      <w:proofErr w:type="spellStart"/>
      <w:r>
        <w:rPr>
          <w:i/>
          <w:iCs/>
        </w:rPr>
        <w:t>Intent</w:t>
      </w:r>
      <w:proofErr w:type="spellEnd"/>
      <w:r>
        <w:rPr>
          <w:i/>
          <w:iCs/>
        </w:rPr>
        <w:t xml:space="preserve"> </w:t>
      </w:r>
      <w:proofErr w:type="spellStart"/>
      <w:r>
        <w:rPr>
          <w:i/>
          <w:iCs/>
        </w:rPr>
        <w:t>to</w:t>
      </w:r>
      <w:proofErr w:type="spellEnd"/>
      <w:r>
        <w:rPr>
          <w:i/>
          <w:iCs/>
        </w:rPr>
        <w:t xml:space="preserve"> Use DeepSeek”</w:t>
      </w:r>
      <w:r>
        <w:t xml:space="preserve"> se muestra que la facilidad de uso tiene un efecto indirecto sobre la intención de uso a través de la confianza. Esto implica que una política de registro menos restrictiva puede facilitar que nuevos usuarios prueben la IA, reduciendo fricción y aumentando su adopción.</w:t>
      </w:r>
    </w:p>
    <w:p w14:paraId="4D07B369" w14:textId="77777777" w:rsidR="00834E34" w:rsidRDefault="00E0544B">
      <w:pPr>
        <w:widowControl w:val="0"/>
        <w:tabs>
          <w:tab w:val="left" w:pos="567"/>
        </w:tabs>
        <w:ind w:right="35"/>
      </w:pPr>
      <w:r>
        <w:t>Gemini en entornos educativos lo califican como una herramienta con una interfaz amigable con gran potencial de personalización.</w:t>
      </w:r>
      <w:hyperlink r:id="rId8">
        <w:r>
          <w:t xml:space="preserve"> </w:t>
        </w:r>
      </w:hyperlink>
      <w:r>
        <w:t>Esa facilidad sugiere que un acceso básico mínimo, como usar funciones sin necesidad de una cuenta completa, podría favorecer la entrada de usuarios que prefieren no registrarse.</w:t>
      </w:r>
    </w:p>
    <w:p w14:paraId="3B7AA201" w14:textId="77777777" w:rsidR="00834E34" w:rsidRDefault="00E0544B">
      <w:pPr>
        <w:widowControl w:val="0"/>
        <w:tabs>
          <w:tab w:val="left" w:pos="567"/>
        </w:tabs>
        <w:ind w:right="35"/>
        <w:rPr>
          <w:b/>
          <w:bCs/>
        </w:rPr>
      </w:pPr>
      <w:r>
        <w:rPr>
          <w:color w:val="0F1115"/>
          <w:highlight w:val="white"/>
        </w:rPr>
        <w:t xml:space="preserve">La estrategia de Kimi representa la evolución más refinada en el ecosistema de IA educativa: potencia técnica sin barreras de entrada. Al ofrecer su modelo </w:t>
      </w:r>
      <w:r>
        <w:rPr>
          <w:i/>
          <w:iCs/>
          <w:color w:val="0F1115"/>
          <w:highlight w:val="white"/>
        </w:rPr>
        <w:t>"</w:t>
      </w:r>
      <w:proofErr w:type="spellStart"/>
      <w:r>
        <w:rPr>
          <w:i/>
          <w:iCs/>
          <w:color w:val="0F1115"/>
          <w:highlight w:val="white"/>
        </w:rPr>
        <w:t>Instruct</w:t>
      </w:r>
      <w:proofErr w:type="spellEnd"/>
      <w:r>
        <w:rPr>
          <w:i/>
          <w:iCs/>
          <w:color w:val="0F1115"/>
          <w:highlight w:val="white"/>
        </w:rPr>
        <w:t>"</w:t>
      </w:r>
      <w:r>
        <w:rPr>
          <w:color w:val="0F1115"/>
          <w:highlight w:val="white"/>
        </w:rPr>
        <w:t xml:space="preserve"> de acceso inmediato, complementado con funciones avanzadas para usuarios registrados, Kimi ha logrado un equilibrio perfecto entre capacidad y accesibilidad [12].</w:t>
      </w:r>
    </w:p>
    <w:p w14:paraId="6AA5D88D" w14:textId="77777777" w:rsidR="00834E34" w:rsidRDefault="00E0544B">
      <w:pPr>
        <w:pStyle w:val="Ttulo3"/>
        <w:widowControl w:val="0"/>
        <w:numPr>
          <w:ilvl w:val="2"/>
          <w:numId w:val="1"/>
        </w:numPr>
        <w:ind w:right="35"/>
      </w:pPr>
      <w:bookmarkStart w:id="4" w:name="_c8dfkhrwq715" w:colFirst="0" w:colLast="0"/>
      <w:bookmarkEnd w:id="4"/>
      <w:r>
        <w:t>Factores de evaluación en un sistema conversacional</w:t>
      </w:r>
    </w:p>
    <w:p w14:paraId="77719168" w14:textId="77777777" w:rsidR="00834E34" w:rsidRDefault="00E0544B">
      <w:r>
        <w:t>Evaluar qué tan bueno es un sistema de inteligencia artificial que conversa con nosotros no es solo una cuestión técnica, tiene mucho que ver con cómo nos sentimos al usarlo. Los expertos han identificado que hay varios puntos críticos que definen si confiamos o no en ellos:</w:t>
      </w:r>
    </w:p>
    <w:p w14:paraId="5AE42A1B" w14:textId="77777777" w:rsidR="00834E34" w:rsidRDefault="00E0544B">
      <w:r>
        <w:t>Cuando usamos un sistema de diálogo, lo que más nos importa es que la respuesta sea de alta calidad, que la IA no se olvide de lo que hablamos antes y sobre todo, que sea realmente útil en la práctica [13]. Si el sistema falla en estos puntos, sentimos que no podemos confiar en él.</w:t>
      </w:r>
    </w:p>
    <w:p w14:paraId="7E303A3A" w14:textId="77777777" w:rsidR="00834E34" w:rsidRDefault="00E0544B">
      <w:r>
        <w:t xml:space="preserve">Uno de los mayores dolores de cabeza es que los modelos de IA a veces se inventan información mejor conocida como alucinaciones, pero la entregan con total seguridad. Para medir qué tan propensos son a mentir, usamos herramientas de prueba especializadas como </w:t>
      </w:r>
      <w:proofErr w:type="spellStart"/>
      <w:r>
        <w:t>TruthfulQA</w:t>
      </w:r>
      <w:proofErr w:type="spellEnd"/>
      <w:r>
        <w:t xml:space="preserve"> o </w:t>
      </w:r>
      <w:proofErr w:type="spellStart"/>
      <w:r>
        <w:t>HaluEval</w:t>
      </w:r>
      <w:proofErr w:type="spellEnd"/>
      <w:r>
        <w:t>, que buscan cuantificar esta tendencia a la inexactitud [14].</w:t>
      </w:r>
    </w:p>
    <w:p w14:paraId="1B36BCE8" w14:textId="77777777" w:rsidR="00834E34" w:rsidRDefault="00E0544B">
      <w:r>
        <w:t>La capacidad de contexto es esencialmente la memoria a corto plazo del sistema. Es lo que le permite recordar lo que dijimos hace varios turnos. Si bien las memorias gigantes permiten analizar documentos muy largos y complejos, esto también exige muchísima más potencia de cálculo, lo que lo hace más difícil de manejar [15].</w:t>
      </w:r>
    </w:p>
    <w:p w14:paraId="1DF9D13F" w14:textId="77777777" w:rsidR="00834E34" w:rsidRDefault="00E0544B">
      <w:r>
        <w:t xml:space="preserve">Una IA genérica está bien para empezar, pero si necesitamos ayuda en un campo muy concreto, los sistemas especializados funcionan mucho mejor. Por eso, las técnicas de </w:t>
      </w:r>
      <w:proofErr w:type="spellStart"/>
      <w:r>
        <w:t>Prompt</w:t>
      </w:r>
      <w:proofErr w:type="spellEnd"/>
      <w:r>
        <w:t xml:space="preserve"> son cruciales para que la IA se adapte a un dominio específico [16].</w:t>
      </w:r>
    </w:p>
    <w:p w14:paraId="13DD23DF" w14:textId="77777777" w:rsidR="00834E34" w:rsidRDefault="00E0544B">
      <w:r>
        <w:t>Al final la velocidad es muy importante, si la IA tarda demasiado en generar una respuesta, o si el hardware necesario es exageradamente costoso, su utilidad práctica disminuye. La eficiencia y el tiempo de respuesta deben ser óptimos, sobre todo cuando la necesitamos para tareas que ocurren en tiempo real [17].</w:t>
      </w:r>
    </w:p>
    <w:p w14:paraId="25B5EE84" w14:textId="77777777" w:rsidR="00834E34" w:rsidRDefault="00E0544B">
      <w:pPr>
        <w:pStyle w:val="Ttulo1"/>
        <w:widowControl w:val="0"/>
        <w:numPr>
          <w:ilvl w:val="0"/>
          <w:numId w:val="1"/>
        </w:numPr>
        <w:ind w:right="35"/>
      </w:pPr>
      <w:r>
        <w:t>METODOLOGÍA</w:t>
      </w:r>
    </w:p>
    <w:p w14:paraId="4F8C02E3" w14:textId="77777777" w:rsidR="00834E34" w:rsidRDefault="00E0544B">
      <w:pPr>
        <w:widowControl w:val="0"/>
      </w:pPr>
      <w:r>
        <w:rPr>
          <w:highlight w:val="white"/>
        </w:rPr>
        <w:t>Nuestro objetivo era muy claro: queríamos saber qué tan buenas son en realidad cuatro de las inteligencias artificiales más populares del momento (ChatGPT, Gemini, DeepSeek y Kimi) cuando tienen que darnos un buen consejo o asesoramiento. Para que la prueba fuera realista, entramos a cada una directamente desde el navegador, justo como lo haría cualquier usuario.</w:t>
      </w:r>
    </w:p>
    <w:p w14:paraId="49579C80" w14:textId="77777777" w:rsidR="00834E34" w:rsidRDefault="00E0544B">
      <w:pPr>
        <w:pStyle w:val="Ttulo2"/>
        <w:keepNext w:val="0"/>
        <w:widowControl w:val="0"/>
        <w:numPr>
          <w:ilvl w:val="1"/>
          <w:numId w:val="1"/>
        </w:numPr>
        <w:spacing w:before="120" w:after="120"/>
      </w:pPr>
      <w:bookmarkStart w:id="5" w:name="_obteub7mjivl" w:colFirst="0" w:colLast="0"/>
      <w:bookmarkEnd w:id="5"/>
      <w:r>
        <w:t>Diseño del plan de acción</w:t>
      </w:r>
    </w:p>
    <w:p w14:paraId="411BB2C4" w14:textId="77777777" w:rsidR="00834E34" w:rsidRDefault="00E0544B">
      <w:pPr>
        <w:widowControl w:val="0"/>
      </w:pPr>
      <w:r>
        <w:t>Para evitar quedarnos solo con una parte de la historia, decidimos aplicar un diseño de prueba doble. Esto quiere decir que no solo nos enfocamos en contar cuántas veces acertaron o fallaron. También fue fundamental escuchar la experiencia de los evaluadores mientras interactúan con ellas. Al combinar los datos objetivos con la percepción humana, conseguimos armar un panorama mucho más completo y confiable para esta investigación.</w:t>
      </w:r>
    </w:p>
    <w:p w14:paraId="5EA5E1FE" w14:textId="77777777" w:rsidR="00834E34" w:rsidRDefault="00E0544B">
      <w:pPr>
        <w:pStyle w:val="Ttulo2"/>
        <w:keepNext w:val="0"/>
        <w:widowControl w:val="0"/>
        <w:numPr>
          <w:ilvl w:val="1"/>
          <w:numId w:val="1"/>
        </w:numPr>
        <w:spacing w:before="120" w:after="120"/>
      </w:pPr>
      <w:bookmarkStart w:id="6" w:name="_ecgh19djya61" w:colFirst="0" w:colLast="0"/>
      <w:bookmarkEnd w:id="6"/>
      <w:r>
        <w:t>Recolección de evidencia</w:t>
      </w:r>
    </w:p>
    <w:p w14:paraId="1CDBB07B" w14:textId="77777777" w:rsidR="00834E34" w:rsidRDefault="00E0544B">
      <w:pPr>
        <w:widowControl w:val="0"/>
      </w:pPr>
      <w:r>
        <w:t xml:space="preserve">Para ser justos e imparciales, cuatro personas se encargaron de realizar la evaluación. Lo primero que hicimos fue crear cuentas de usuario totalmente nuevas en cada plataforma. ¿La razón? Queríamos que el historial de conversaciones no les diera ninguna ventaja a las </w:t>
      </w:r>
      <w:proofErr w:type="spellStart"/>
      <w:r>
        <w:t>IAs</w:t>
      </w:r>
      <w:proofErr w:type="spellEnd"/>
      <w:r>
        <w:t xml:space="preserve"> y no influyera en sus respuestas.</w:t>
      </w:r>
    </w:p>
    <w:p w14:paraId="330E250B" w14:textId="77777777" w:rsidR="00834E34" w:rsidRDefault="00E0544B">
      <w:pPr>
        <w:widowControl w:val="0"/>
      </w:pPr>
      <w:r>
        <w:t xml:space="preserve">Cada evaluador lanzó las mismas cinco preguntas idénticas a las cuatro </w:t>
      </w:r>
      <w:proofErr w:type="spellStart"/>
      <w:r>
        <w:t>IAs</w:t>
      </w:r>
      <w:proofErr w:type="spellEnd"/>
      <w:r>
        <w:t>. Las preguntas eran variadas, abarcando desde situaciones del día a día, temas de estudio y consultas de tecnología. Con este proceso, logramos analizar un total de 80 interacciones, un número lo suficientemente influyente para obtener conclusiones firmes.</w:t>
      </w:r>
    </w:p>
    <w:p w14:paraId="40AFDFFA" w14:textId="77777777" w:rsidR="00834E34" w:rsidRDefault="00E0544B">
      <w:pPr>
        <w:pStyle w:val="Ttulo2"/>
        <w:keepNext w:val="0"/>
        <w:widowControl w:val="0"/>
        <w:numPr>
          <w:ilvl w:val="1"/>
          <w:numId w:val="1"/>
        </w:numPr>
        <w:spacing w:before="120" w:after="120"/>
      </w:pPr>
      <w:bookmarkStart w:id="7" w:name="_2n1flzfh46wu" w:colFirst="0" w:colLast="0"/>
      <w:bookmarkEnd w:id="7"/>
      <w:r>
        <w:t>Sistema de calificación</w:t>
      </w:r>
    </w:p>
    <w:p w14:paraId="36305083" w14:textId="77777777" w:rsidR="00834E34" w:rsidRDefault="00E0544B">
      <w:pPr>
        <w:widowControl w:val="0"/>
      </w:pPr>
      <w:r>
        <w:t>Las respuestas obtenidas pasaron por un duro proceso de calificación. Usamos una escala del 1 al 5 (piensa en un sistema de estrellas, donde 5 es excelente) y nos fijamos en tres cosas esenciales:</w:t>
      </w:r>
    </w:p>
    <w:p w14:paraId="768D917F" w14:textId="77777777" w:rsidR="00834E34" w:rsidRDefault="00E0544B">
      <w:pPr>
        <w:widowControl w:val="0"/>
      </w:pPr>
      <w:r>
        <w:t>¿Qué tan precisa es la información? (¿Dice la verdad?)</w:t>
      </w:r>
    </w:p>
    <w:p w14:paraId="3013A229" w14:textId="77777777" w:rsidR="00834E34" w:rsidRDefault="00E0544B">
      <w:pPr>
        <w:widowControl w:val="0"/>
      </w:pPr>
      <w:r>
        <w:t>¿Se entiende bien y es coherente? (¿Es clara y tiene sentido?)</w:t>
      </w:r>
    </w:p>
    <w:p w14:paraId="7C40BD75" w14:textId="77777777" w:rsidR="00834E34" w:rsidRDefault="00E0544B">
      <w:pPr>
        <w:widowControl w:val="0"/>
      </w:pPr>
      <w:r>
        <w:t>¿Responde exactamente a lo que se preguntó? (¿Es relevante?)</w:t>
      </w:r>
    </w:p>
    <w:p w14:paraId="5AB1250B" w14:textId="77777777" w:rsidR="00834E34" w:rsidRDefault="00E0544B">
      <w:pPr>
        <w:pStyle w:val="Ttulo2"/>
        <w:keepNext w:val="0"/>
        <w:widowControl w:val="0"/>
        <w:numPr>
          <w:ilvl w:val="1"/>
          <w:numId w:val="1"/>
        </w:numPr>
        <w:spacing w:before="120" w:after="120"/>
      </w:pPr>
      <w:bookmarkStart w:id="8" w:name="_2lz4fut0wg7z" w:colFirst="0" w:colLast="0"/>
      <w:bookmarkEnd w:id="8"/>
      <w:r>
        <w:t>Organizar los datos</w:t>
      </w:r>
    </w:p>
    <w:p w14:paraId="58E6F46E" w14:textId="77777777" w:rsidR="00834E34" w:rsidRDefault="00E0544B">
      <w:pPr>
        <w:widowControl w:val="0"/>
      </w:pPr>
      <w:r>
        <w:t>Primero, tomamos todas las calificaciones para sacar promedios. Esto nos dio una idea rápida de qué IA iba ganando en cada categoría. Después, complementamos esa información con el análisis de las percepciones de los evaluadores. Es decir, analizamos sus comentarios sobre qué tan útil y confiable sintieron que era cada asistente de IA. Cuando combinamos los números fríos con sus experiencias personales, pudimos entender mejor el panorama.</w:t>
      </w:r>
    </w:p>
    <w:p w14:paraId="2F3C0D35" w14:textId="77777777" w:rsidR="00834E34" w:rsidRDefault="00E0544B">
      <w:pPr>
        <w:pStyle w:val="Ttulo1"/>
        <w:widowControl w:val="0"/>
        <w:numPr>
          <w:ilvl w:val="0"/>
          <w:numId w:val="1"/>
        </w:numPr>
        <w:ind w:right="35"/>
      </w:pPr>
      <w:r>
        <w:t>RESULTADOS</w:t>
      </w:r>
    </w:p>
    <w:p w14:paraId="2DD37DA7" w14:textId="77777777" w:rsidR="00834E34" w:rsidRDefault="00E0544B">
      <w:pPr>
        <w:widowControl w:val="0"/>
        <w:ind w:right="35"/>
        <w:rPr>
          <w:sz w:val="12"/>
          <w:szCs w:val="12"/>
        </w:rPr>
      </w:pPr>
      <w:r>
        <w:rPr>
          <w:color w:val="0F1115"/>
          <w:highlight w:val="white"/>
        </w:rPr>
        <w:t>El presente estudio analizó comparativamente las capacidades de asesoramiento de cuatro modelos de IA (ChatGPT, DeepSeek, Gemini y Kimi) a través de cinco dominios temáticos: análisis de situación nacional, impacto en educación, solución de problemas de salud pública, fundamentos de física teórica avanzada y capacidad para resolver problemas matemáticos complejos.</w:t>
      </w:r>
    </w:p>
    <w:p w14:paraId="25882984" w14:textId="77777777" w:rsidR="00834E34" w:rsidRDefault="00E0544B">
      <w:pPr>
        <w:pStyle w:val="Ttulo2"/>
        <w:widowControl w:val="0"/>
        <w:numPr>
          <w:ilvl w:val="1"/>
          <w:numId w:val="1"/>
        </w:numPr>
        <w:spacing w:before="120" w:after="120"/>
        <w:ind w:right="35"/>
      </w:pPr>
      <w:r>
        <w:t>Análisis de la situación actual de México</w:t>
      </w:r>
    </w:p>
    <w:p w14:paraId="73AD691E" w14:textId="77777777" w:rsidR="00834E34" w:rsidRDefault="00E0544B">
      <w:pPr>
        <w:widowControl w:val="0"/>
        <w:shd w:val="clear" w:color="auto" w:fill="FFFFFF"/>
        <w:ind w:right="35"/>
      </w:pPr>
      <w:r>
        <w:rPr>
          <w:color w:val="0F1115"/>
        </w:rPr>
        <w:t xml:space="preserve">Las </w:t>
      </w:r>
      <w:proofErr w:type="spellStart"/>
      <w:r>
        <w:rPr>
          <w:color w:val="0F1115"/>
        </w:rPr>
        <w:t>IAs</w:t>
      </w:r>
      <w:proofErr w:type="spellEnd"/>
      <w:r>
        <w:rPr>
          <w:color w:val="0F1115"/>
        </w:rPr>
        <w:t xml:space="preserve"> demostraron capacidades analíticas diferenciadas según sus marcos de referencia institucionales. La pregunta evaluada fue: "¿Qué piensas sobre la situación actual en México?"</w:t>
      </w:r>
    </w:p>
    <w:p w14:paraId="5EA69EA1" w14:textId="77777777" w:rsidR="00834E34" w:rsidRDefault="00E0544B">
      <w:pPr>
        <w:pStyle w:val="Ttulo3"/>
        <w:widowControl w:val="0"/>
        <w:numPr>
          <w:ilvl w:val="2"/>
          <w:numId w:val="1"/>
        </w:numPr>
        <w:spacing w:before="120" w:after="120"/>
        <w:ind w:right="35"/>
      </w:pPr>
      <w:bookmarkStart w:id="9" w:name="_3n0be2jeljl1" w:colFirst="0" w:colLast="0"/>
      <w:bookmarkEnd w:id="9"/>
      <w:r>
        <w:t xml:space="preserve">ChatGPT </w:t>
      </w:r>
    </w:p>
    <w:p w14:paraId="392074B5" w14:textId="77777777" w:rsidR="00834E34" w:rsidRDefault="00E0544B">
      <w:pPr>
        <w:widowControl w:val="0"/>
        <w:ind w:right="35"/>
        <w:rPr>
          <w:i/>
          <w:iCs/>
          <w:sz w:val="22"/>
          <w:szCs w:val="22"/>
        </w:rPr>
      </w:pPr>
      <w:r>
        <w:t>Esta inteligencia abordó dimensiones políticas, económicas, educativas y de seguridad. Presentó un panorama equilibrado, destacando tanto aspectos positivos como desafíos estructurales del país.</w:t>
      </w:r>
    </w:p>
    <w:p w14:paraId="2D2A2503" w14:textId="77777777" w:rsidR="00834E34" w:rsidRDefault="00E0544B">
      <w:pPr>
        <w:pStyle w:val="Ttulo3"/>
        <w:widowControl w:val="0"/>
        <w:numPr>
          <w:ilvl w:val="2"/>
          <w:numId w:val="1"/>
        </w:numPr>
        <w:spacing w:before="120" w:after="120"/>
        <w:ind w:right="35"/>
      </w:pPr>
      <w:bookmarkStart w:id="10" w:name="_qi70jq8jxf6" w:colFirst="0" w:colLast="0"/>
      <w:bookmarkEnd w:id="10"/>
      <w:r>
        <w:t>DeepSeek</w:t>
      </w:r>
    </w:p>
    <w:p w14:paraId="44DAB516" w14:textId="77777777" w:rsidR="00834E34" w:rsidRDefault="00E0544B">
      <w:pPr>
        <w:widowControl w:val="0"/>
        <w:ind w:right="35"/>
        <w:rPr>
          <w:i/>
          <w:iCs/>
          <w:sz w:val="22"/>
          <w:szCs w:val="22"/>
        </w:rPr>
      </w:pPr>
      <w:r>
        <w:t xml:space="preserve">Por su parte esta inteligencia cayó bajo el sesgo político de su país de origen ya que destacó las relaciones comerciales que tiene con China, comentó de manera superficial que México bajo el liderazgo correcto ha logrado mejor desarrollo y bienestar social. </w:t>
      </w:r>
    </w:p>
    <w:p w14:paraId="1561F465" w14:textId="77777777" w:rsidR="00834E34" w:rsidRDefault="00E0544B">
      <w:pPr>
        <w:pStyle w:val="Ttulo3"/>
        <w:widowControl w:val="0"/>
        <w:numPr>
          <w:ilvl w:val="2"/>
          <w:numId w:val="1"/>
        </w:numPr>
        <w:spacing w:before="120" w:after="120"/>
        <w:ind w:right="35"/>
      </w:pPr>
      <w:bookmarkStart w:id="11" w:name="_t7tl3ci5mb4q" w:colFirst="0" w:colLast="0"/>
      <w:bookmarkEnd w:id="11"/>
      <w:r>
        <w:t>Gemini</w:t>
      </w:r>
    </w:p>
    <w:p w14:paraId="69E993A4" w14:textId="77777777" w:rsidR="00834E34" w:rsidRDefault="00E0544B">
      <w:pPr>
        <w:widowControl w:val="0"/>
        <w:ind w:right="35"/>
        <w:rPr>
          <w:i/>
          <w:iCs/>
          <w:sz w:val="22"/>
          <w:szCs w:val="22"/>
        </w:rPr>
      </w:pPr>
      <w:r>
        <w:t>Proporcionó el análisis más técnico, con datos económicos específicos y referencia al contexto de finales de 2025. Mencionó influencias externas estadounidenses.</w:t>
      </w:r>
    </w:p>
    <w:p w14:paraId="40D1E953" w14:textId="77777777" w:rsidR="00834E34" w:rsidRDefault="00E0544B">
      <w:pPr>
        <w:pStyle w:val="Ttulo3"/>
        <w:widowControl w:val="0"/>
        <w:numPr>
          <w:ilvl w:val="2"/>
          <w:numId w:val="1"/>
        </w:numPr>
        <w:spacing w:before="120" w:after="120"/>
        <w:ind w:right="35"/>
      </w:pPr>
      <w:bookmarkStart w:id="12" w:name="_senyn2eltfrz" w:colFirst="0" w:colLast="0"/>
      <w:bookmarkEnd w:id="12"/>
      <w:r>
        <w:t>Kimi</w:t>
      </w:r>
    </w:p>
    <w:p w14:paraId="4FF0DA76" w14:textId="77777777" w:rsidR="00834E34" w:rsidRDefault="00E0544B">
      <w:pPr>
        <w:widowControl w:val="0"/>
        <w:ind w:right="35"/>
        <w:rPr>
          <w:i/>
          <w:iCs/>
        </w:rPr>
      </w:pPr>
      <w:r>
        <w:t>Destacó por su enfoque crítico-estructural, abordando debilidad institucional, desaceleración económica y problemas de inversión con profundidad analítica.</w:t>
      </w:r>
    </w:p>
    <w:p w14:paraId="65F9BB61" w14:textId="1DCB5D80" w:rsidR="00834E34" w:rsidRDefault="00E0544B">
      <w:pPr>
        <w:widowControl w:val="0"/>
        <w:spacing w:after="240"/>
        <w:ind w:right="35"/>
        <w:jc w:val="center"/>
        <w:rPr>
          <w:i/>
          <w:iCs/>
        </w:rPr>
      </w:pPr>
      <w:r>
        <w:rPr>
          <w:i/>
          <w:iCs/>
        </w:rPr>
        <w:t>Tabla 1. Comparación del enfoque analítico de modelos de IA sobre la situación actual de México</w:t>
      </w:r>
      <w:r w:rsidR="00C84D19">
        <w:rPr>
          <w:i/>
          <w:iCs/>
        </w:rPr>
        <w:t>.</w:t>
      </w:r>
    </w:p>
    <w:tbl>
      <w:tblPr>
        <w:tblStyle w:val="a"/>
        <w:tblW w:w="9404"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378"/>
        <w:gridCol w:w="2013"/>
        <w:gridCol w:w="2013"/>
        <w:gridCol w:w="2000"/>
        <w:gridCol w:w="2000"/>
      </w:tblGrid>
      <w:tr w:rsidR="00834E34" w14:paraId="06F65F14" w14:textId="77777777">
        <w:trPr>
          <w:trHeight w:val="420"/>
        </w:trPr>
        <w:tc>
          <w:tcPr>
            <w:tcW w:w="1378"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38966243" w14:textId="77777777" w:rsidR="00834E34" w:rsidRDefault="00E0544B">
            <w:pPr>
              <w:widowControl w:val="0"/>
              <w:spacing w:before="80" w:after="40"/>
              <w:jc w:val="center"/>
              <w:rPr>
                <w:i/>
                <w:iCs/>
              </w:rPr>
            </w:pPr>
            <w:r>
              <w:rPr>
                <w:i/>
                <w:iCs/>
              </w:rPr>
              <w:t xml:space="preserve"> Criterio</w:t>
            </w:r>
          </w:p>
        </w:tc>
        <w:tc>
          <w:tcPr>
            <w:tcW w:w="2013"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7C447F00" w14:textId="77777777" w:rsidR="00834E34" w:rsidRDefault="00E0544B">
            <w:pPr>
              <w:widowControl w:val="0"/>
              <w:spacing w:before="80" w:after="40"/>
              <w:jc w:val="center"/>
              <w:rPr>
                <w:i/>
                <w:iCs/>
              </w:rPr>
            </w:pPr>
            <w:r>
              <w:rPr>
                <w:i/>
                <w:iCs/>
              </w:rPr>
              <w:t>ChatGPT</w:t>
            </w:r>
          </w:p>
        </w:tc>
        <w:tc>
          <w:tcPr>
            <w:tcW w:w="2013"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6AC91AF5" w14:textId="77777777" w:rsidR="00834E34" w:rsidRDefault="00E0544B">
            <w:pPr>
              <w:widowControl w:val="0"/>
              <w:spacing w:before="80" w:after="40"/>
              <w:jc w:val="center"/>
              <w:rPr>
                <w:i/>
                <w:iCs/>
              </w:rPr>
            </w:pPr>
            <w:r>
              <w:rPr>
                <w:i/>
                <w:iCs/>
              </w:rPr>
              <w:t>DeepSeek</w:t>
            </w:r>
          </w:p>
        </w:tc>
        <w:tc>
          <w:tcPr>
            <w:tcW w:w="2000" w:type="dxa"/>
            <w:tcBorders>
              <w:top w:val="single" w:sz="10" w:space="0" w:color="000000"/>
              <w:left w:val="nil"/>
              <w:bottom w:val="single" w:sz="5" w:space="0" w:color="000000"/>
              <w:right w:val="single" w:sz="8" w:space="0" w:color="000000"/>
            </w:tcBorders>
            <w:tcMar>
              <w:top w:w="0" w:type="dxa"/>
              <w:left w:w="100" w:type="dxa"/>
              <w:bottom w:w="0" w:type="dxa"/>
              <w:right w:w="100" w:type="dxa"/>
            </w:tcMar>
          </w:tcPr>
          <w:p w14:paraId="401C21DD" w14:textId="77777777" w:rsidR="00834E34" w:rsidRDefault="00E0544B">
            <w:pPr>
              <w:widowControl w:val="0"/>
              <w:spacing w:before="80" w:after="40"/>
              <w:jc w:val="center"/>
              <w:rPr>
                <w:i/>
                <w:iCs/>
              </w:rPr>
            </w:pPr>
            <w:r>
              <w:rPr>
                <w:i/>
                <w:iCs/>
              </w:rPr>
              <w:t>Gemini</w:t>
            </w:r>
          </w:p>
        </w:tc>
        <w:tc>
          <w:tcPr>
            <w:tcW w:w="2000" w:type="dxa"/>
            <w:tcBorders>
              <w:top w:val="single" w:sz="10" w:space="0" w:color="000000"/>
              <w:left w:val="single" w:sz="8" w:space="0" w:color="000000"/>
              <w:bottom w:val="single" w:sz="5" w:space="0" w:color="000000"/>
              <w:right w:val="nil"/>
            </w:tcBorders>
            <w:tcMar>
              <w:top w:w="0" w:type="dxa"/>
              <w:left w:w="100" w:type="dxa"/>
              <w:bottom w:w="0" w:type="dxa"/>
              <w:right w:w="100" w:type="dxa"/>
            </w:tcMar>
          </w:tcPr>
          <w:p w14:paraId="124BF4AD" w14:textId="77777777" w:rsidR="00834E34" w:rsidRDefault="00E0544B">
            <w:pPr>
              <w:widowControl w:val="0"/>
              <w:spacing w:before="80" w:after="40"/>
              <w:jc w:val="center"/>
              <w:rPr>
                <w:i/>
                <w:iCs/>
              </w:rPr>
            </w:pPr>
            <w:r>
              <w:rPr>
                <w:i/>
                <w:iCs/>
              </w:rPr>
              <w:t>Kimi</w:t>
            </w:r>
          </w:p>
        </w:tc>
      </w:tr>
      <w:tr w:rsidR="00834E34" w14:paraId="0FE1DAF8" w14:textId="77777777">
        <w:trPr>
          <w:trHeight w:val="405"/>
        </w:trPr>
        <w:tc>
          <w:tcPr>
            <w:tcW w:w="1378" w:type="dxa"/>
            <w:tcBorders>
              <w:top w:val="nil"/>
              <w:left w:val="nil"/>
              <w:bottom w:val="single" w:sz="5" w:space="0" w:color="000000"/>
              <w:right w:val="single" w:sz="5" w:space="0" w:color="000000"/>
            </w:tcBorders>
            <w:tcMar>
              <w:top w:w="0" w:type="dxa"/>
              <w:left w:w="100" w:type="dxa"/>
              <w:bottom w:w="0" w:type="dxa"/>
              <w:right w:w="100" w:type="dxa"/>
            </w:tcMar>
          </w:tcPr>
          <w:p w14:paraId="34AA27A8" w14:textId="77777777" w:rsidR="00834E34" w:rsidRDefault="00E0544B">
            <w:pPr>
              <w:widowControl w:val="0"/>
              <w:spacing w:before="80" w:after="40"/>
              <w:jc w:val="center"/>
              <w:rPr>
                <w:i/>
                <w:iCs/>
              </w:rPr>
            </w:pPr>
            <w:r>
              <w:rPr>
                <w:i/>
                <w:iCs/>
              </w:rPr>
              <w:t>Enfoque</w:t>
            </w:r>
          </w:p>
          <w:p w14:paraId="7EC02401" w14:textId="77777777" w:rsidR="00834E34" w:rsidRDefault="00E0544B">
            <w:pPr>
              <w:widowControl w:val="0"/>
              <w:spacing w:before="80" w:after="40"/>
              <w:jc w:val="center"/>
              <w:rPr>
                <w:i/>
                <w:iCs/>
              </w:rPr>
            </w:pPr>
            <w:r>
              <w:rPr>
                <w:i/>
                <w:iCs/>
              </w:rPr>
              <w:t>General</w:t>
            </w:r>
          </w:p>
        </w:tc>
        <w:tc>
          <w:tcPr>
            <w:tcW w:w="2013" w:type="dxa"/>
            <w:tcBorders>
              <w:top w:val="nil"/>
              <w:left w:val="nil"/>
              <w:bottom w:val="single" w:sz="5" w:space="0" w:color="000000"/>
              <w:right w:val="single" w:sz="5" w:space="0" w:color="000000"/>
            </w:tcBorders>
            <w:tcMar>
              <w:top w:w="0" w:type="dxa"/>
              <w:left w:w="100" w:type="dxa"/>
              <w:bottom w:w="0" w:type="dxa"/>
              <w:right w:w="100" w:type="dxa"/>
            </w:tcMar>
          </w:tcPr>
          <w:p w14:paraId="2C32419C" w14:textId="77777777" w:rsidR="00834E34" w:rsidRDefault="00E0544B">
            <w:pPr>
              <w:widowControl w:val="0"/>
              <w:spacing w:before="80" w:after="40"/>
              <w:jc w:val="center"/>
              <w:rPr>
                <w:i/>
                <w:iCs/>
              </w:rPr>
            </w:pPr>
            <w:r>
              <w:rPr>
                <w:i/>
                <w:iCs/>
              </w:rPr>
              <w:t>Equilibrado hay aspectos positivos y negativos</w:t>
            </w:r>
          </w:p>
        </w:tc>
        <w:tc>
          <w:tcPr>
            <w:tcW w:w="2013" w:type="dxa"/>
            <w:tcBorders>
              <w:top w:val="nil"/>
              <w:left w:val="nil"/>
              <w:bottom w:val="single" w:sz="5" w:space="0" w:color="000000"/>
              <w:right w:val="single" w:sz="5" w:space="0" w:color="000000"/>
            </w:tcBorders>
            <w:tcMar>
              <w:top w:w="0" w:type="dxa"/>
              <w:left w:w="100" w:type="dxa"/>
              <w:bottom w:w="0" w:type="dxa"/>
              <w:right w:w="100" w:type="dxa"/>
            </w:tcMar>
          </w:tcPr>
          <w:p w14:paraId="1F0BD245" w14:textId="77777777" w:rsidR="00834E34" w:rsidRDefault="00E0544B">
            <w:pPr>
              <w:widowControl w:val="0"/>
              <w:spacing w:before="80" w:after="40"/>
              <w:jc w:val="center"/>
              <w:rPr>
                <w:i/>
                <w:iCs/>
              </w:rPr>
            </w:pPr>
            <w:r>
              <w:rPr>
                <w:i/>
                <w:iCs/>
              </w:rPr>
              <w:t>Muy positivo, se enfoca en la diplomacia</w:t>
            </w:r>
          </w:p>
        </w:tc>
        <w:tc>
          <w:tcPr>
            <w:tcW w:w="2000" w:type="dxa"/>
            <w:tcBorders>
              <w:top w:val="nil"/>
              <w:left w:val="nil"/>
              <w:bottom w:val="single" w:sz="5" w:space="0" w:color="000000"/>
              <w:right w:val="single" w:sz="8" w:space="0" w:color="000000"/>
            </w:tcBorders>
            <w:tcMar>
              <w:top w:w="0" w:type="dxa"/>
              <w:left w:w="100" w:type="dxa"/>
              <w:bottom w:w="0" w:type="dxa"/>
              <w:right w:w="100" w:type="dxa"/>
            </w:tcMar>
          </w:tcPr>
          <w:p w14:paraId="238E5751" w14:textId="77777777" w:rsidR="00834E34" w:rsidRDefault="00E0544B">
            <w:pPr>
              <w:widowControl w:val="0"/>
              <w:spacing w:before="80" w:after="40"/>
              <w:jc w:val="center"/>
              <w:rPr>
                <w:i/>
                <w:iCs/>
              </w:rPr>
            </w:pPr>
            <w:r>
              <w:rPr>
                <w:i/>
                <w:iCs/>
              </w:rPr>
              <w:t>Analítico y detallado con una visión crítica</w:t>
            </w:r>
          </w:p>
        </w:tc>
        <w:tc>
          <w:tcPr>
            <w:tcW w:w="2000" w:type="dxa"/>
            <w:tcBorders>
              <w:top w:val="nil"/>
              <w:left w:val="single" w:sz="8" w:space="0" w:color="000000"/>
              <w:bottom w:val="single" w:sz="5" w:space="0" w:color="000000"/>
              <w:right w:val="nil"/>
            </w:tcBorders>
            <w:tcMar>
              <w:top w:w="0" w:type="dxa"/>
              <w:left w:w="100" w:type="dxa"/>
              <w:bottom w:w="0" w:type="dxa"/>
              <w:right w:w="100" w:type="dxa"/>
            </w:tcMar>
          </w:tcPr>
          <w:p w14:paraId="26B88562" w14:textId="77777777" w:rsidR="00834E34" w:rsidRDefault="00E0544B">
            <w:pPr>
              <w:widowControl w:val="0"/>
              <w:spacing w:before="80" w:after="40"/>
              <w:jc w:val="center"/>
              <w:rPr>
                <w:i/>
                <w:iCs/>
              </w:rPr>
            </w:pPr>
            <w:r>
              <w:rPr>
                <w:i/>
                <w:iCs/>
              </w:rPr>
              <w:t>Se enfoca en la estructura del problema</w:t>
            </w:r>
          </w:p>
        </w:tc>
      </w:tr>
      <w:tr w:rsidR="00834E34" w14:paraId="20A36E5D"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669A11D1" w14:textId="77777777" w:rsidR="00834E34" w:rsidRDefault="00E0544B">
            <w:pPr>
              <w:widowControl w:val="0"/>
              <w:spacing w:before="80" w:after="40"/>
              <w:jc w:val="center"/>
              <w:rPr>
                <w:i/>
                <w:iCs/>
              </w:rPr>
            </w:pPr>
            <w:r>
              <w:rPr>
                <w:i/>
                <w:iCs/>
              </w:rPr>
              <w:t>Profundidad</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3FAA61D5" w14:textId="77777777" w:rsidR="00834E34" w:rsidRDefault="00E0544B">
            <w:pPr>
              <w:widowControl w:val="0"/>
              <w:spacing w:before="80" w:after="40"/>
              <w:jc w:val="center"/>
              <w:rPr>
                <w:i/>
                <w:iCs/>
              </w:rPr>
            </w:pPr>
            <w:r>
              <w:rPr>
                <w:i/>
                <w:iCs/>
              </w:rPr>
              <w:t>Visión general moderada</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0677F93B" w14:textId="77777777" w:rsidR="00834E34" w:rsidRDefault="00E0544B">
            <w:pPr>
              <w:widowControl w:val="0"/>
              <w:spacing w:before="80" w:after="40"/>
              <w:jc w:val="center"/>
              <w:rPr>
                <w:i/>
                <w:iCs/>
              </w:rPr>
            </w:pPr>
            <w:r>
              <w:rPr>
                <w:i/>
                <w:iCs/>
              </w:rPr>
              <w:t>Superficial, evita detalles críticos</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43A0FF89" w14:textId="77777777" w:rsidR="00834E34" w:rsidRDefault="00E0544B">
            <w:pPr>
              <w:widowControl w:val="0"/>
              <w:spacing w:before="80" w:after="40"/>
              <w:jc w:val="center"/>
              <w:rPr>
                <w:i/>
                <w:iCs/>
              </w:rPr>
            </w:pPr>
            <w:r>
              <w:rPr>
                <w:i/>
                <w:iCs/>
              </w:rPr>
              <w:t>Alta, con datos específicos.</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1277FFF7" w14:textId="77777777" w:rsidR="00834E34" w:rsidRDefault="00E0544B">
            <w:pPr>
              <w:widowControl w:val="0"/>
              <w:spacing w:before="80" w:after="40"/>
              <w:jc w:val="center"/>
              <w:rPr>
                <w:i/>
                <w:iCs/>
              </w:rPr>
            </w:pPr>
            <w:r>
              <w:rPr>
                <w:i/>
                <w:iCs/>
              </w:rPr>
              <w:t>Muy alta, analiza la estructura con datos concretos</w:t>
            </w:r>
          </w:p>
        </w:tc>
      </w:tr>
      <w:tr w:rsidR="00834E34" w14:paraId="0368D0F9"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38CDB223" w14:textId="77777777" w:rsidR="00834E34" w:rsidRDefault="00E0544B">
            <w:pPr>
              <w:widowControl w:val="0"/>
              <w:spacing w:before="80" w:after="40"/>
              <w:jc w:val="center"/>
              <w:rPr>
                <w:i/>
                <w:iCs/>
              </w:rPr>
            </w:pPr>
            <w:r>
              <w:rPr>
                <w:i/>
                <w:iCs/>
              </w:rPr>
              <w:t>Objetividad</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4637C613" w14:textId="77777777" w:rsidR="00834E34" w:rsidRDefault="00E0544B">
            <w:pPr>
              <w:widowControl w:val="0"/>
              <w:spacing w:before="80" w:after="40"/>
              <w:jc w:val="center"/>
              <w:rPr>
                <w:i/>
                <w:iCs/>
              </w:rPr>
            </w:pPr>
            <w:r>
              <w:rPr>
                <w:i/>
                <w:iCs/>
              </w:rPr>
              <w:t>Balanceada presenta luces y sombras</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64B6AD2D" w14:textId="77777777" w:rsidR="00834E34" w:rsidRDefault="00E0544B">
            <w:pPr>
              <w:widowControl w:val="0"/>
              <w:spacing w:before="80" w:after="40"/>
              <w:jc w:val="center"/>
              <w:rPr>
                <w:i/>
                <w:iCs/>
              </w:rPr>
            </w:pPr>
            <w:r>
              <w:rPr>
                <w:i/>
                <w:iCs/>
              </w:rPr>
              <w:t>Muy alta, centrada en el desarrollo interno</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4F1E953A" w14:textId="77777777" w:rsidR="00834E34" w:rsidRDefault="00E0544B">
            <w:pPr>
              <w:widowControl w:val="0"/>
              <w:spacing w:before="80" w:after="40"/>
              <w:jc w:val="center"/>
              <w:rPr>
                <w:i/>
                <w:iCs/>
              </w:rPr>
            </w:pPr>
            <w:r>
              <w:rPr>
                <w:i/>
                <w:iCs/>
              </w:rPr>
              <w:t>objetiva, se basa en tendencias y datos</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634FB1E7" w14:textId="77777777" w:rsidR="00834E34" w:rsidRDefault="00E0544B">
            <w:pPr>
              <w:widowControl w:val="0"/>
              <w:spacing w:before="80" w:after="40"/>
              <w:jc w:val="center"/>
              <w:rPr>
                <w:i/>
                <w:iCs/>
              </w:rPr>
            </w:pPr>
            <w:r>
              <w:rPr>
                <w:i/>
                <w:iCs/>
              </w:rPr>
              <w:t>objetiva pero enfocada al problema</w:t>
            </w:r>
          </w:p>
        </w:tc>
      </w:tr>
      <w:tr w:rsidR="00834E34" w14:paraId="4FEC3871"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6725A311" w14:textId="77777777" w:rsidR="00834E34" w:rsidRDefault="00E0544B">
            <w:pPr>
              <w:widowControl w:val="0"/>
              <w:spacing w:before="80" w:after="40"/>
              <w:jc w:val="center"/>
              <w:rPr>
                <w:i/>
                <w:iCs/>
              </w:rPr>
            </w:pPr>
            <w:r>
              <w:rPr>
                <w:i/>
                <w:iCs/>
              </w:rPr>
              <w:t>Dimensiones analizadas</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29EDAF60" w14:textId="77777777" w:rsidR="00834E34" w:rsidRDefault="00E0544B">
            <w:pPr>
              <w:widowControl w:val="0"/>
              <w:spacing w:before="80" w:after="40"/>
              <w:jc w:val="center"/>
              <w:rPr>
                <w:i/>
                <w:iCs/>
              </w:rPr>
            </w:pPr>
            <w:r>
              <w:rPr>
                <w:i/>
                <w:iCs/>
              </w:rPr>
              <w:t>Política, económica, seguridad, educación y medio ambiente</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1E6DB471" w14:textId="77777777" w:rsidR="00834E34" w:rsidRDefault="00E0544B">
            <w:pPr>
              <w:widowControl w:val="0"/>
              <w:spacing w:before="80" w:after="40"/>
              <w:jc w:val="center"/>
              <w:rPr>
                <w:i/>
                <w:iCs/>
              </w:rPr>
            </w:pPr>
            <w:r>
              <w:rPr>
                <w:i/>
                <w:iCs/>
              </w:rPr>
              <w:t>Relaciones internacionales y desarrollo económico</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71B02039" w14:textId="77777777" w:rsidR="00834E34" w:rsidRDefault="00E0544B">
            <w:pPr>
              <w:widowControl w:val="0"/>
              <w:spacing w:before="80" w:after="40"/>
              <w:jc w:val="center"/>
              <w:rPr>
                <w:i/>
                <w:iCs/>
              </w:rPr>
            </w:pPr>
            <w:r>
              <w:rPr>
                <w:i/>
                <w:iCs/>
              </w:rPr>
              <w:t>Política, economía, relaciones exteriores y seguridad.</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0CD12E5C" w14:textId="77777777" w:rsidR="00834E34" w:rsidRDefault="00E0544B">
            <w:pPr>
              <w:widowControl w:val="0"/>
              <w:spacing w:before="80" w:after="40"/>
              <w:jc w:val="center"/>
              <w:rPr>
                <w:i/>
                <w:iCs/>
              </w:rPr>
            </w:pPr>
            <w:r>
              <w:rPr>
                <w:i/>
                <w:iCs/>
              </w:rPr>
              <w:t>Reformas institucionales, política y relaciones internacionales.</w:t>
            </w:r>
          </w:p>
        </w:tc>
      </w:tr>
      <w:tr w:rsidR="00834E34" w14:paraId="30BC6C23"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343E29A8" w14:textId="77777777" w:rsidR="00834E34" w:rsidRDefault="00E0544B">
            <w:pPr>
              <w:widowControl w:val="0"/>
              <w:spacing w:before="80" w:after="40"/>
              <w:jc w:val="center"/>
              <w:rPr>
                <w:i/>
                <w:iCs/>
              </w:rPr>
            </w:pPr>
            <w:r>
              <w:rPr>
                <w:i/>
                <w:iCs/>
              </w:rPr>
              <w:t>Perspectiva internacional</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4FD0ED5E" w14:textId="77777777" w:rsidR="00834E34" w:rsidRDefault="00E0544B">
            <w:pPr>
              <w:widowControl w:val="0"/>
              <w:spacing w:before="80" w:after="40"/>
              <w:jc w:val="center"/>
              <w:rPr>
                <w:i/>
                <w:iCs/>
              </w:rPr>
            </w:pPr>
            <w:r>
              <w:rPr>
                <w:i/>
                <w:iCs/>
              </w:rPr>
              <w:t>Limitada, enfoque interno principal</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1D2F1919" w14:textId="77777777" w:rsidR="00834E34" w:rsidRDefault="00E0544B">
            <w:pPr>
              <w:widowControl w:val="0"/>
              <w:spacing w:before="80" w:after="40"/>
              <w:jc w:val="center"/>
              <w:rPr>
                <w:i/>
                <w:iCs/>
              </w:rPr>
            </w:pPr>
            <w:r>
              <w:rPr>
                <w:i/>
                <w:iCs/>
              </w:rPr>
              <w:t>Enfatiza relaciones China-México</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32E2A7C7" w14:textId="77777777" w:rsidR="00834E34" w:rsidRDefault="00E0544B">
            <w:pPr>
              <w:widowControl w:val="0"/>
              <w:spacing w:before="80" w:after="40"/>
              <w:jc w:val="center"/>
              <w:rPr>
                <w:i/>
                <w:iCs/>
              </w:rPr>
            </w:pPr>
            <w:r>
              <w:rPr>
                <w:i/>
                <w:iCs/>
              </w:rPr>
              <w:t>Destaca la relación con EE.UU. T-MEC</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3C4B5303" w14:textId="77777777" w:rsidR="00834E34" w:rsidRDefault="00E0544B">
            <w:pPr>
              <w:widowControl w:val="0"/>
              <w:spacing w:before="80" w:after="40"/>
              <w:jc w:val="center"/>
              <w:rPr>
                <w:i/>
                <w:iCs/>
              </w:rPr>
            </w:pPr>
            <w:r>
              <w:rPr>
                <w:i/>
                <w:iCs/>
              </w:rPr>
              <w:t>Analiza las tensiones con EE.UU.</w:t>
            </w:r>
          </w:p>
        </w:tc>
      </w:tr>
    </w:tbl>
    <w:p w14:paraId="478D5095" w14:textId="77777777" w:rsidR="00834E34" w:rsidRDefault="00834E34">
      <w:pPr>
        <w:widowControl w:val="0"/>
        <w:spacing w:after="240"/>
        <w:ind w:right="35"/>
        <w:jc w:val="center"/>
        <w:rPr>
          <w:i/>
          <w:iCs/>
        </w:rPr>
      </w:pPr>
    </w:p>
    <w:p w14:paraId="1359441D" w14:textId="77777777" w:rsidR="00834E34" w:rsidRDefault="00E0544B">
      <w:pPr>
        <w:pStyle w:val="Ttulo2"/>
        <w:widowControl w:val="0"/>
        <w:numPr>
          <w:ilvl w:val="1"/>
          <w:numId w:val="1"/>
        </w:numPr>
        <w:ind w:right="35"/>
      </w:pPr>
      <w:bookmarkStart w:id="13" w:name="_r21kljxzznq8" w:colFirst="0" w:colLast="0"/>
      <w:bookmarkEnd w:id="13"/>
      <w:r>
        <w:t xml:space="preserve">Solución a problemas complejos </w:t>
      </w:r>
    </w:p>
    <w:p w14:paraId="6296DA29" w14:textId="77777777" w:rsidR="00834E34" w:rsidRDefault="00E0544B">
      <w:pPr>
        <w:widowControl w:val="0"/>
        <w:ind w:right="35"/>
      </w:pPr>
      <w:r>
        <w:rPr>
          <w:color w:val="0F1115"/>
          <w:highlight w:val="white"/>
        </w:rPr>
        <w:t>Se evaluaron criterios y perspectivas sobre la pregunta: "¿Cómo la inteligencia artificial está reemplazando a los profesores?"</w:t>
      </w:r>
    </w:p>
    <w:p w14:paraId="503C37A0" w14:textId="77777777" w:rsidR="00834E34" w:rsidRDefault="00E0544B">
      <w:pPr>
        <w:pStyle w:val="Ttulo3"/>
        <w:widowControl w:val="0"/>
        <w:numPr>
          <w:ilvl w:val="2"/>
          <w:numId w:val="1"/>
        </w:numPr>
        <w:spacing w:before="120" w:after="120"/>
        <w:ind w:right="35"/>
      </w:pPr>
      <w:bookmarkStart w:id="14" w:name="_xrp01c29s3ch" w:colFirst="0" w:colLast="0"/>
      <w:bookmarkEnd w:id="14"/>
      <w:r>
        <w:t>ChatGPT</w:t>
      </w:r>
    </w:p>
    <w:p w14:paraId="312EE212" w14:textId="77777777" w:rsidR="00834E34" w:rsidRDefault="00E0544B">
      <w:pPr>
        <w:widowControl w:val="0"/>
        <w:ind w:right="35"/>
      </w:pPr>
      <w:r>
        <w:t>Puso énfasis en la eficiencia operativa mediante automatización de tareas repetitivas y personalización del aprendizaje para los estudiantes.</w:t>
      </w:r>
    </w:p>
    <w:p w14:paraId="6EA3AA6C" w14:textId="77777777" w:rsidR="00834E34" w:rsidRDefault="00E0544B">
      <w:pPr>
        <w:pStyle w:val="Ttulo3"/>
        <w:widowControl w:val="0"/>
        <w:numPr>
          <w:ilvl w:val="2"/>
          <w:numId w:val="1"/>
        </w:numPr>
        <w:spacing w:before="120" w:after="120"/>
        <w:ind w:right="35"/>
      </w:pPr>
      <w:r>
        <w:t>DeepSeek.</w:t>
      </w:r>
    </w:p>
    <w:p w14:paraId="17CDE1EE" w14:textId="77777777" w:rsidR="00834E34" w:rsidRDefault="00E0544B">
      <w:pPr>
        <w:widowControl w:val="0"/>
        <w:ind w:right="35"/>
      </w:pPr>
      <w:r>
        <w:t>Destacó las limitaciones emocionales, argumentando que la IA no puede reemplazar la empatía y guía ética de las personas.</w:t>
      </w:r>
    </w:p>
    <w:p w14:paraId="50612221" w14:textId="77777777" w:rsidR="00834E34" w:rsidRDefault="00E0544B">
      <w:pPr>
        <w:pStyle w:val="Ttulo3"/>
        <w:widowControl w:val="0"/>
        <w:numPr>
          <w:ilvl w:val="2"/>
          <w:numId w:val="1"/>
        </w:numPr>
        <w:spacing w:before="120" w:after="120"/>
        <w:ind w:right="35"/>
      </w:pPr>
      <w:bookmarkStart w:id="15" w:name="_etszv5v0mlcs" w:colFirst="0" w:colLast="0"/>
      <w:bookmarkEnd w:id="15"/>
      <w:r>
        <w:t>Gemini</w:t>
      </w:r>
    </w:p>
    <w:p w14:paraId="39672E72" w14:textId="77777777" w:rsidR="00834E34" w:rsidRDefault="00E0544B">
      <w:pPr>
        <w:widowControl w:val="0"/>
        <w:ind w:right="35"/>
      </w:pPr>
      <w:r>
        <w:t>Hace referencia a la carencia de cualidades humanas dentro de la IA por lo cual se carece de empatía, emociones reales, liderazgo para la resolución de problemas y una conexión real para desarrollar habilidades sociales.</w:t>
      </w:r>
    </w:p>
    <w:p w14:paraId="466D98D1" w14:textId="77777777" w:rsidR="00834E34" w:rsidRDefault="00E0544B">
      <w:pPr>
        <w:pStyle w:val="Ttulo3"/>
        <w:widowControl w:val="0"/>
        <w:numPr>
          <w:ilvl w:val="2"/>
          <w:numId w:val="1"/>
        </w:numPr>
        <w:spacing w:before="120" w:after="120"/>
        <w:ind w:right="35"/>
      </w:pPr>
      <w:bookmarkStart w:id="16" w:name="_h0c2hxs2o58i" w:colFirst="0" w:colLast="0"/>
      <w:bookmarkEnd w:id="16"/>
      <w:r>
        <w:t>Kimi</w:t>
      </w:r>
    </w:p>
    <w:p w14:paraId="758C55C0" w14:textId="77777777" w:rsidR="00834E34" w:rsidRDefault="00E0544B">
      <w:pPr>
        <w:widowControl w:val="0"/>
        <w:ind w:right="35"/>
      </w:pPr>
      <w:r>
        <w:t>Alertó sobre los riesgos éticos, pérdida de interacción entre personas y desigualdad en acceso tecnológico.</w:t>
      </w:r>
    </w:p>
    <w:p w14:paraId="23C2A010" w14:textId="77777777" w:rsidR="00834E34" w:rsidRDefault="00E0544B">
      <w:pPr>
        <w:widowControl w:val="0"/>
        <w:spacing w:after="240"/>
        <w:ind w:right="35"/>
        <w:jc w:val="center"/>
        <w:rPr>
          <w:i/>
          <w:iCs/>
        </w:rPr>
      </w:pPr>
      <w:r>
        <w:rPr>
          <w:i/>
          <w:iCs/>
        </w:rPr>
        <w:t xml:space="preserve">Tabla 2. Evaluación de Perspectivas de </w:t>
      </w:r>
      <w:proofErr w:type="spellStart"/>
      <w:r>
        <w:rPr>
          <w:i/>
          <w:iCs/>
        </w:rPr>
        <w:t>IAs</w:t>
      </w:r>
      <w:proofErr w:type="spellEnd"/>
      <w:r>
        <w:rPr>
          <w:i/>
          <w:iCs/>
        </w:rPr>
        <w:t xml:space="preserve"> acerca del Impacto de la Inteligencia Artificial en la Docencia</w:t>
      </w:r>
      <w:r>
        <w:t>.</w:t>
      </w:r>
    </w:p>
    <w:tbl>
      <w:tblPr>
        <w:tblStyle w:val="a0"/>
        <w:tblW w:w="9404"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378"/>
        <w:gridCol w:w="2013"/>
        <w:gridCol w:w="2013"/>
        <w:gridCol w:w="2000"/>
        <w:gridCol w:w="2000"/>
      </w:tblGrid>
      <w:tr w:rsidR="00834E34" w14:paraId="11C96B41" w14:textId="77777777">
        <w:trPr>
          <w:trHeight w:val="420"/>
        </w:trPr>
        <w:tc>
          <w:tcPr>
            <w:tcW w:w="1378"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7C833C48" w14:textId="77777777" w:rsidR="00834E34" w:rsidRDefault="00E0544B">
            <w:pPr>
              <w:widowControl w:val="0"/>
              <w:spacing w:before="80" w:after="40"/>
              <w:jc w:val="center"/>
              <w:rPr>
                <w:i/>
                <w:iCs/>
              </w:rPr>
            </w:pPr>
            <w:r>
              <w:rPr>
                <w:i/>
                <w:iCs/>
              </w:rPr>
              <w:t xml:space="preserve"> Criterio</w:t>
            </w:r>
          </w:p>
        </w:tc>
        <w:tc>
          <w:tcPr>
            <w:tcW w:w="2013"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51AC9862" w14:textId="77777777" w:rsidR="00834E34" w:rsidRDefault="00E0544B">
            <w:pPr>
              <w:widowControl w:val="0"/>
              <w:spacing w:before="80" w:after="40"/>
              <w:jc w:val="center"/>
              <w:rPr>
                <w:i/>
                <w:iCs/>
              </w:rPr>
            </w:pPr>
            <w:r>
              <w:rPr>
                <w:i/>
                <w:iCs/>
              </w:rPr>
              <w:t>ChatGPT</w:t>
            </w:r>
          </w:p>
        </w:tc>
        <w:tc>
          <w:tcPr>
            <w:tcW w:w="2013"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655EB5C0" w14:textId="77777777" w:rsidR="00834E34" w:rsidRDefault="00E0544B">
            <w:pPr>
              <w:widowControl w:val="0"/>
              <w:spacing w:before="80" w:after="40"/>
              <w:jc w:val="center"/>
              <w:rPr>
                <w:i/>
                <w:iCs/>
              </w:rPr>
            </w:pPr>
            <w:r>
              <w:rPr>
                <w:i/>
                <w:iCs/>
              </w:rPr>
              <w:t>DeepSeek</w:t>
            </w:r>
          </w:p>
        </w:tc>
        <w:tc>
          <w:tcPr>
            <w:tcW w:w="2000" w:type="dxa"/>
            <w:tcBorders>
              <w:top w:val="single" w:sz="10" w:space="0" w:color="000000"/>
              <w:left w:val="nil"/>
              <w:bottom w:val="single" w:sz="5" w:space="0" w:color="000000"/>
              <w:right w:val="single" w:sz="8" w:space="0" w:color="000000"/>
            </w:tcBorders>
            <w:tcMar>
              <w:top w:w="0" w:type="dxa"/>
              <w:left w:w="100" w:type="dxa"/>
              <w:bottom w:w="0" w:type="dxa"/>
              <w:right w:w="100" w:type="dxa"/>
            </w:tcMar>
          </w:tcPr>
          <w:p w14:paraId="7D6F71E5" w14:textId="77777777" w:rsidR="00834E34" w:rsidRDefault="00E0544B">
            <w:pPr>
              <w:widowControl w:val="0"/>
              <w:spacing w:before="80" w:after="40"/>
              <w:jc w:val="center"/>
              <w:rPr>
                <w:i/>
                <w:iCs/>
              </w:rPr>
            </w:pPr>
            <w:r>
              <w:rPr>
                <w:i/>
                <w:iCs/>
              </w:rPr>
              <w:t>Gemini</w:t>
            </w:r>
          </w:p>
        </w:tc>
        <w:tc>
          <w:tcPr>
            <w:tcW w:w="2000" w:type="dxa"/>
            <w:tcBorders>
              <w:top w:val="single" w:sz="10" w:space="0" w:color="000000"/>
              <w:left w:val="single" w:sz="8" w:space="0" w:color="000000"/>
              <w:bottom w:val="single" w:sz="5" w:space="0" w:color="000000"/>
              <w:right w:val="nil"/>
            </w:tcBorders>
            <w:tcMar>
              <w:top w:w="0" w:type="dxa"/>
              <w:left w:w="100" w:type="dxa"/>
              <w:bottom w:w="0" w:type="dxa"/>
              <w:right w:w="100" w:type="dxa"/>
            </w:tcMar>
          </w:tcPr>
          <w:p w14:paraId="377154A7" w14:textId="77777777" w:rsidR="00834E34" w:rsidRDefault="00E0544B">
            <w:pPr>
              <w:widowControl w:val="0"/>
              <w:spacing w:before="80" w:after="40"/>
              <w:jc w:val="center"/>
              <w:rPr>
                <w:i/>
                <w:iCs/>
              </w:rPr>
            </w:pPr>
            <w:r>
              <w:rPr>
                <w:i/>
                <w:iCs/>
              </w:rPr>
              <w:t>Kimi</w:t>
            </w:r>
          </w:p>
        </w:tc>
      </w:tr>
      <w:tr w:rsidR="00834E34" w14:paraId="2249570D" w14:textId="77777777">
        <w:trPr>
          <w:trHeight w:val="405"/>
        </w:trPr>
        <w:tc>
          <w:tcPr>
            <w:tcW w:w="1378" w:type="dxa"/>
            <w:tcBorders>
              <w:top w:val="nil"/>
              <w:left w:val="nil"/>
              <w:bottom w:val="single" w:sz="5" w:space="0" w:color="000000"/>
              <w:right w:val="single" w:sz="5" w:space="0" w:color="000000"/>
            </w:tcBorders>
            <w:tcMar>
              <w:top w:w="0" w:type="dxa"/>
              <w:left w:w="100" w:type="dxa"/>
              <w:bottom w:w="0" w:type="dxa"/>
              <w:right w:w="100" w:type="dxa"/>
            </w:tcMar>
          </w:tcPr>
          <w:p w14:paraId="77245542" w14:textId="77777777" w:rsidR="00834E34" w:rsidRDefault="00E0544B">
            <w:pPr>
              <w:widowControl w:val="0"/>
              <w:spacing w:before="80" w:after="40"/>
              <w:jc w:val="center"/>
              <w:rPr>
                <w:i/>
                <w:iCs/>
              </w:rPr>
            </w:pPr>
            <w:r>
              <w:rPr>
                <w:i/>
                <w:iCs/>
              </w:rPr>
              <w:t>Posición general</w:t>
            </w:r>
          </w:p>
        </w:tc>
        <w:tc>
          <w:tcPr>
            <w:tcW w:w="2013" w:type="dxa"/>
            <w:tcBorders>
              <w:top w:val="nil"/>
              <w:left w:val="nil"/>
              <w:bottom w:val="single" w:sz="5" w:space="0" w:color="000000"/>
              <w:right w:val="single" w:sz="5" w:space="0" w:color="000000"/>
            </w:tcBorders>
            <w:tcMar>
              <w:top w:w="0" w:type="dxa"/>
              <w:left w:w="100" w:type="dxa"/>
              <w:bottom w:w="0" w:type="dxa"/>
              <w:right w:w="100" w:type="dxa"/>
            </w:tcMar>
          </w:tcPr>
          <w:p w14:paraId="47E7AB1B" w14:textId="77777777" w:rsidR="00834E34" w:rsidRDefault="00E0544B">
            <w:pPr>
              <w:widowControl w:val="0"/>
              <w:spacing w:before="80" w:after="40"/>
              <w:jc w:val="center"/>
              <w:rPr>
                <w:i/>
                <w:iCs/>
              </w:rPr>
            </w:pPr>
            <w:r>
              <w:rPr>
                <w:i/>
                <w:iCs/>
              </w:rPr>
              <w:t>La IA no reemplaza sino que transforma el rol docente</w:t>
            </w:r>
          </w:p>
        </w:tc>
        <w:tc>
          <w:tcPr>
            <w:tcW w:w="2013" w:type="dxa"/>
            <w:tcBorders>
              <w:top w:val="nil"/>
              <w:left w:val="nil"/>
              <w:bottom w:val="single" w:sz="5" w:space="0" w:color="000000"/>
              <w:right w:val="single" w:sz="5" w:space="0" w:color="000000"/>
            </w:tcBorders>
            <w:tcMar>
              <w:top w:w="0" w:type="dxa"/>
              <w:left w:w="100" w:type="dxa"/>
              <w:bottom w:w="0" w:type="dxa"/>
              <w:right w:w="100" w:type="dxa"/>
            </w:tcMar>
          </w:tcPr>
          <w:p w14:paraId="1D9BF477" w14:textId="77777777" w:rsidR="00834E34" w:rsidRDefault="00E0544B">
            <w:pPr>
              <w:widowControl w:val="0"/>
              <w:spacing w:before="80" w:after="40"/>
              <w:jc w:val="center"/>
              <w:rPr>
                <w:i/>
                <w:iCs/>
              </w:rPr>
            </w:pPr>
            <w:r>
              <w:rPr>
                <w:i/>
                <w:iCs/>
              </w:rPr>
              <w:t>No reemplaza sino que colabora con el docente</w:t>
            </w:r>
          </w:p>
        </w:tc>
        <w:tc>
          <w:tcPr>
            <w:tcW w:w="2000" w:type="dxa"/>
            <w:tcBorders>
              <w:top w:val="nil"/>
              <w:left w:val="nil"/>
              <w:bottom w:val="single" w:sz="5" w:space="0" w:color="000000"/>
              <w:right w:val="single" w:sz="8" w:space="0" w:color="000000"/>
            </w:tcBorders>
            <w:tcMar>
              <w:top w:w="0" w:type="dxa"/>
              <w:left w:w="100" w:type="dxa"/>
              <w:bottom w:w="0" w:type="dxa"/>
              <w:right w:w="100" w:type="dxa"/>
            </w:tcMar>
          </w:tcPr>
          <w:p w14:paraId="02FE41EA" w14:textId="77777777" w:rsidR="00834E34" w:rsidRDefault="00E0544B">
            <w:pPr>
              <w:widowControl w:val="0"/>
              <w:spacing w:before="80" w:after="40"/>
              <w:jc w:val="center"/>
              <w:rPr>
                <w:i/>
                <w:iCs/>
              </w:rPr>
            </w:pPr>
            <w:r>
              <w:rPr>
                <w:i/>
                <w:iCs/>
              </w:rPr>
              <w:t>No sustituye sino que ofrece un rol híbrido docente-IA</w:t>
            </w:r>
          </w:p>
        </w:tc>
        <w:tc>
          <w:tcPr>
            <w:tcW w:w="2000" w:type="dxa"/>
            <w:tcBorders>
              <w:top w:val="nil"/>
              <w:left w:val="single" w:sz="8" w:space="0" w:color="000000"/>
              <w:bottom w:val="single" w:sz="5" w:space="0" w:color="000000"/>
              <w:right w:val="nil"/>
            </w:tcBorders>
            <w:tcMar>
              <w:top w:w="0" w:type="dxa"/>
              <w:left w:w="100" w:type="dxa"/>
              <w:bottom w:w="0" w:type="dxa"/>
              <w:right w:w="100" w:type="dxa"/>
            </w:tcMar>
          </w:tcPr>
          <w:p w14:paraId="6F3368D3" w14:textId="77777777" w:rsidR="00834E34" w:rsidRDefault="00E0544B">
            <w:pPr>
              <w:widowControl w:val="0"/>
              <w:spacing w:before="80" w:after="40"/>
              <w:jc w:val="center"/>
              <w:rPr>
                <w:i/>
                <w:iCs/>
              </w:rPr>
            </w:pPr>
            <w:r>
              <w:rPr>
                <w:i/>
                <w:iCs/>
              </w:rPr>
              <w:t>Transforma el trabajo del docente no sustituye</w:t>
            </w:r>
          </w:p>
        </w:tc>
      </w:tr>
      <w:tr w:rsidR="00834E34" w14:paraId="4BDDC2B5"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729D4398" w14:textId="77777777" w:rsidR="00834E34" w:rsidRDefault="00E0544B">
            <w:pPr>
              <w:widowControl w:val="0"/>
              <w:spacing w:before="80" w:after="40"/>
              <w:jc w:val="center"/>
              <w:rPr>
                <w:i/>
                <w:iCs/>
              </w:rPr>
            </w:pPr>
            <w:r>
              <w:rPr>
                <w:i/>
                <w:iCs/>
              </w:rPr>
              <w:t>Enfoque de la respuesta</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16370F10" w14:textId="77777777" w:rsidR="00834E34" w:rsidRDefault="00E0544B">
            <w:pPr>
              <w:widowControl w:val="0"/>
              <w:spacing w:before="80" w:after="40"/>
              <w:jc w:val="center"/>
              <w:rPr>
                <w:i/>
                <w:iCs/>
              </w:rPr>
            </w:pPr>
            <w:r>
              <w:rPr>
                <w:i/>
                <w:iCs/>
              </w:rPr>
              <w:t>Personalización del aprendizaje</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5949A191" w14:textId="77777777" w:rsidR="00834E34" w:rsidRDefault="00E0544B">
            <w:pPr>
              <w:widowControl w:val="0"/>
              <w:spacing w:before="80" w:after="40"/>
              <w:jc w:val="center"/>
              <w:rPr>
                <w:i/>
                <w:iCs/>
              </w:rPr>
            </w:pPr>
            <w:r>
              <w:rPr>
                <w:i/>
                <w:iCs/>
              </w:rPr>
              <w:t>Libera al docente de tareas repetitivas</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78C81FD3" w14:textId="77777777" w:rsidR="00834E34" w:rsidRDefault="00E0544B">
            <w:pPr>
              <w:widowControl w:val="0"/>
              <w:spacing w:before="80" w:after="40"/>
              <w:jc w:val="center"/>
              <w:rPr>
                <w:i/>
                <w:iCs/>
              </w:rPr>
            </w:pPr>
            <w:r>
              <w:rPr>
                <w:i/>
                <w:iCs/>
              </w:rPr>
              <w:t>Automatiza y personaliza el aprendizaje</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3079CDED" w14:textId="77777777" w:rsidR="00834E34" w:rsidRDefault="00E0544B">
            <w:pPr>
              <w:widowControl w:val="0"/>
              <w:spacing w:before="80" w:after="40"/>
              <w:jc w:val="center"/>
              <w:rPr>
                <w:i/>
                <w:iCs/>
              </w:rPr>
            </w:pPr>
            <w:r>
              <w:rPr>
                <w:i/>
                <w:iCs/>
              </w:rPr>
              <w:t>Optimiza la carga del docente.</w:t>
            </w:r>
          </w:p>
        </w:tc>
      </w:tr>
      <w:tr w:rsidR="00834E34" w14:paraId="4A7A2FC3"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158369C8" w14:textId="77777777" w:rsidR="00834E34" w:rsidRDefault="00E0544B">
            <w:pPr>
              <w:widowControl w:val="0"/>
              <w:spacing w:before="80" w:after="40"/>
              <w:jc w:val="center"/>
              <w:rPr>
                <w:i/>
                <w:iCs/>
              </w:rPr>
            </w:pPr>
            <w:r>
              <w:rPr>
                <w:i/>
                <w:iCs/>
              </w:rPr>
              <w:t>Límites propios como IA</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6D7DD0D4" w14:textId="77777777" w:rsidR="00834E34" w:rsidRDefault="00E0544B">
            <w:pPr>
              <w:widowControl w:val="0"/>
              <w:spacing w:before="80" w:after="40"/>
              <w:jc w:val="center"/>
              <w:rPr>
                <w:i/>
                <w:iCs/>
              </w:rPr>
            </w:pPr>
            <w:r>
              <w:rPr>
                <w:i/>
                <w:iCs/>
              </w:rPr>
              <w:t>Humanidad y falta real de empatía.</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0EC1578B" w14:textId="77777777" w:rsidR="00834E34" w:rsidRDefault="00E0544B">
            <w:pPr>
              <w:widowControl w:val="0"/>
              <w:spacing w:before="80" w:after="40"/>
              <w:jc w:val="center"/>
              <w:rPr>
                <w:i/>
                <w:iCs/>
              </w:rPr>
            </w:pPr>
            <w:r>
              <w:rPr>
                <w:i/>
                <w:iCs/>
              </w:rPr>
              <w:t>No puede ofrecer emoción, inspiración y juicio humano</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2A483328" w14:textId="77777777" w:rsidR="00834E34" w:rsidRDefault="00E0544B">
            <w:pPr>
              <w:widowControl w:val="0"/>
              <w:spacing w:before="80" w:after="40"/>
              <w:jc w:val="center"/>
              <w:rPr>
                <w:i/>
                <w:iCs/>
              </w:rPr>
            </w:pPr>
            <w:r>
              <w:rPr>
                <w:i/>
                <w:iCs/>
              </w:rPr>
              <w:t>No puede replicar la empatía y liderazgo en formación ética</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2EDF6032" w14:textId="77777777" w:rsidR="00834E34" w:rsidRDefault="00E0544B">
            <w:pPr>
              <w:widowControl w:val="0"/>
              <w:spacing w:before="80" w:after="40"/>
              <w:jc w:val="center"/>
              <w:rPr>
                <w:i/>
                <w:iCs/>
              </w:rPr>
            </w:pPr>
            <w:r>
              <w:rPr>
                <w:i/>
                <w:iCs/>
              </w:rPr>
              <w:t>No puede suplir conexión emocional, juicio y desarrollo social</w:t>
            </w:r>
          </w:p>
        </w:tc>
      </w:tr>
      <w:tr w:rsidR="00834E34" w14:paraId="1D6A9323"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4C871E43" w14:textId="77777777" w:rsidR="00834E34" w:rsidRDefault="00E0544B">
            <w:pPr>
              <w:widowControl w:val="0"/>
              <w:spacing w:before="80" w:after="40"/>
              <w:jc w:val="center"/>
              <w:rPr>
                <w:i/>
                <w:iCs/>
              </w:rPr>
            </w:pPr>
            <w:r>
              <w:rPr>
                <w:i/>
                <w:iCs/>
              </w:rPr>
              <w:t>Visión del futuro educativo</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76A0C2AF" w14:textId="77777777" w:rsidR="00834E34" w:rsidRDefault="00E0544B">
            <w:pPr>
              <w:widowControl w:val="0"/>
              <w:spacing w:before="80" w:after="40"/>
              <w:jc w:val="center"/>
              <w:rPr>
                <w:i/>
                <w:iCs/>
              </w:rPr>
            </w:pPr>
            <w:r>
              <w:rPr>
                <w:i/>
                <w:iCs/>
              </w:rPr>
              <w:t>Modelo Híbrido IA + docente</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1059A552" w14:textId="77777777" w:rsidR="00834E34" w:rsidRDefault="00E0544B">
            <w:pPr>
              <w:widowControl w:val="0"/>
              <w:spacing w:before="80" w:after="40"/>
              <w:jc w:val="center"/>
              <w:rPr>
                <w:i/>
                <w:iCs/>
              </w:rPr>
            </w:pPr>
            <w:r>
              <w:rPr>
                <w:i/>
                <w:iCs/>
              </w:rPr>
              <w:t>Docente como diseñador de experiencia</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5A27E413" w14:textId="77777777" w:rsidR="00834E34" w:rsidRDefault="00E0544B">
            <w:pPr>
              <w:widowControl w:val="0"/>
              <w:spacing w:before="80" w:after="40"/>
              <w:jc w:val="center"/>
              <w:rPr>
                <w:i/>
                <w:iCs/>
              </w:rPr>
            </w:pPr>
            <w:r>
              <w:rPr>
                <w:i/>
                <w:iCs/>
              </w:rPr>
              <w:t>IA como copiloto académico del docente</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476589F7" w14:textId="77777777" w:rsidR="00834E34" w:rsidRDefault="00E0544B">
            <w:pPr>
              <w:widowControl w:val="0"/>
              <w:spacing w:before="80" w:after="40"/>
              <w:jc w:val="center"/>
              <w:rPr>
                <w:i/>
                <w:iCs/>
              </w:rPr>
            </w:pPr>
            <w:r>
              <w:rPr>
                <w:i/>
                <w:iCs/>
              </w:rPr>
              <w:t>Docente como mentor emocional y guía humano</w:t>
            </w:r>
          </w:p>
        </w:tc>
      </w:tr>
    </w:tbl>
    <w:p w14:paraId="1C9B675B" w14:textId="77777777" w:rsidR="00834E34" w:rsidRDefault="00834E34">
      <w:pPr>
        <w:widowControl w:val="0"/>
        <w:spacing w:after="240"/>
        <w:ind w:right="35"/>
        <w:jc w:val="center"/>
      </w:pPr>
    </w:p>
    <w:p w14:paraId="10D8C609" w14:textId="77777777" w:rsidR="00834E34" w:rsidRDefault="00E0544B">
      <w:pPr>
        <w:pStyle w:val="Ttulo2"/>
        <w:widowControl w:val="0"/>
        <w:numPr>
          <w:ilvl w:val="1"/>
          <w:numId w:val="1"/>
        </w:numPr>
        <w:ind w:right="35"/>
      </w:pPr>
      <w:bookmarkStart w:id="17" w:name="_mz5x1h4kgo5f" w:colFirst="0" w:colLast="0"/>
      <w:bookmarkEnd w:id="17"/>
      <w:r>
        <w:t>Análisis comparativo de la IA frente a problemas políticos</w:t>
      </w:r>
    </w:p>
    <w:p w14:paraId="6731EEAE" w14:textId="77777777" w:rsidR="00834E34" w:rsidRDefault="00E0544B">
      <w:pPr>
        <w:widowControl w:val="0"/>
        <w:shd w:val="clear" w:color="auto" w:fill="FFFFFF"/>
        <w:ind w:right="35"/>
        <w:rPr>
          <w:color w:val="0F1115"/>
          <w:highlight w:val="white"/>
        </w:rPr>
      </w:pPr>
      <w:r>
        <w:rPr>
          <w:color w:val="0F1115"/>
          <w:highlight w:val="white"/>
        </w:rPr>
        <w:t>El análisis de respuestas sobre el desabasto de medicamentos reveló especializaciones complementarias entre los modelos evaluados. La pregunta formulada fue: "¿Cómo podrías combatir el desabasto de medicinas en el sector público?"</w:t>
      </w:r>
    </w:p>
    <w:p w14:paraId="019E77E2" w14:textId="77777777" w:rsidR="00834E34" w:rsidRDefault="00E0544B">
      <w:pPr>
        <w:pStyle w:val="Ttulo3"/>
        <w:widowControl w:val="0"/>
        <w:numPr>
          <w:ilvl w:val="2"/>
          <w:numId w:val="1"/>
        </w:numPr>
        <w:spacing w:before="120" w:after="120"/>
        <w:ind w:right="35"/>
      </w:pPr>
      <w:bookmarkStart w:id="18" w:name="_73vuz2dkd2jg" w:colFirst="0" w:colLast="0"/>
      <w:bookmarkEnd w:id="18"/>
      <w:r>
        <w:t>ChatGPT</w:t>
      </w:r>
    </w:p>
    <w:p w14:paraId="3769D771" w14:textId="77777777" w:rsidR="00834E34" w:rsidRDefault="00E0544B">
      <w:pPr>
        <w:widowControl w:val="0"/>
        <w:ind w:right="35"/>
        <w:rPr>
          <w:sz w:val="16"/>
          <w:szCs w:val="16"/>
        </w:rPr>
      </w:pPr>
      <w:r>
        <w:rPr>
          <w:color w:val="0F1115"/>
          <w:highlight w:val="white"/>
        </w:rPr>
        <w:t>Propone una estrategia práctica basada en siete ejes de acción: fortalecimiento de planeación, centralización de cadena de suministro, impulso a producción nacional, digitalización de inventarios, transparencia en licitaciones, colaboración ciudadana y capacitación de personal.</w:t>
      </w:r>
    </w:p>
    <w:p w14:paraId="727AE8AF" w14:textId="77777777" w:rsidR="00834E34" w:rsidRDefault="00E0544B">
      <w:pPr>
        <w:pStyle w:val="Ttulo3"/>
        <w:widowControl w:val="0"/>
        <w:numPr>
          <w:ilvl w:val="2"/>
          <w:numId w:val="1"/>
        </w:numPr>
        <w:spacing w:before="120" w:after="120"/>
        <w:ind w:right="35"/>
      </w:pPr>
      <w:bookmarkStart w:id="19" w:name="_a107jcr82d7h" w:colFirst="0" w:colLast="0"/>
      <w:bookmarkEnd w:id="19"/>
      <w:r>
        <w:t>DeepSeek</w:t>
      </w:r>
    </w:p>
    <w:p w14:paraId="703D76AF" w14:textId="77777777" w:rsidR="00834E34" w:rsidRDefault="00E0544B">
      <w:pPr>
        <w:widowControl w:val="0"/>
        <w:ind w:right="35"/>
      </w:pPr>
      <w:r>
        <w:t>Se enfoca en optimización administrativa mediante agilización de compras, contratos a largo plazo y pronósticos de demanda utilizando inteligencia artificial con datos históricos y tendencias epidemiológicas.</w:t>
      </w:r>
    </w:p>
    <w:p w14:paraId="00FF142F" w14:textId="77777777" w:rsidR="00834E34" w:rsidRDefault="00E0544B">
      <w:pPr>
        <w:pStyle w:val="Ttulo3"/>
        <w:widowControl w:val="0"/>
        <w:numPr>
          <w:ilvl w:val="2"/>
          <w:numId w:val="1"/>
        </w:numPr>
        <w:spacing w:before="120" w:after="120"/>
        <w:ind w:right="35"/>
      </w:pPr>
      <w:bookmarkStart w:id="20" w:name="_3whlagcesipd" w:colFirst="0" w:colLast="0"/>
      <w:bookmarkEnd w:id="20"/>
      <w:r>
        <w:t>Gemini</w:t>
      </w:r>
    </w:p>
    <w:p w14:paraId="54B6053F" w14:textId="77777777" w:rsidR="00834E34" w:rsidRDefault="00E0544B">
      <w:pPr>
        <w:widowControl w:val="0"/>
        <w:ind w:right="35"/>
        <w:rPr>
          <w:sz w:val="16"/>
          <w:szCs w:val="16"/>
        </w:rPr>
      </w:pPr>
      <w:r>
        <w:rPr>
          <w:color w:val="0F1115"/>
          <w:highlight w:val="white"/>
        </w:rPr>
        <w:t>Destaca coordinación logística y colaboración intersectorial, enfatizando cadena de suministro eficiente, uso de datos para decisiones e integración del sector privado mediante convenios.</w:t>
      </w:r>
    </w:p>
    <w:p w14:paraId="65F4283D" w14:textId="77777777" w:rsidR="00834E34" w:rsidRDefault="00E0544B">
      <w:pPr>
        <w:pStyle w:val="Ttulo3"/>
        <w:widowControl w:val="0"/>
        <w:numPr>
          <w:ilvl w:val="2"/>
          <w:numId w:val="1"/>
        </w:numPr>
        <w:spacing w:before="120" w:after="120"/>
        <w:ind w:right="35"/>
      </w:pPr>
      <w:bookmarkStart w:id="21" w:name="_q62eqzccgo75" w:colFirst="0" w:colLast="0"/>
      <w:bookmarkEnd w:id="21"/>
      <w:r>
        <w:t>Kimi</w:t>
      </w:r>
    </w:p>
    <w:p w14:paraId="62B8961B" w14:textId="77777777" w:rsidR="00834E34" w:rsidRDefault="00E0544B">
      <w:pPr>
        <w:widowControl w:val="0"/>
        <w:ind w:right="35"/>
        <w:rPr>
          <w:color w:val="0F1115"/>
          <w:highlight w:val="white"/>
        </w:rPr>
      </w:pPr>
      <w:r>
        <w:rPr>
          <w:color w:val="0F1115"/>
          <w:highlight w:val="white"/>
        </w:rPr>
        <w:t>Propone modelo estructural con visión a largo plazo, fundamentado en sistemas resilientes basados en evidencia y observatorio nacional con analítica predictiva para gestión preventiva.</w:t>
      </w:r>
    </w:p>
    <w:p w14:paraId="5E6383DE" w14:textId="1DCEBB2A" w:rsidR="00834E34" w:rsidRDefault="00E0544B">
      <w:pPr>
        <w:widowControl w:val="0"/>
        <w:ind w:right="35"/>
        <w:jc w:val="center"/>
        <w:rPr>
          <w:i/>
          <w:iCs/>
        </w:rPr>
      </w:pPr>
      <w:r>
        <w:rPr>
          <w:i/>
          <w:iCs/>
        </w:rPr>
        <w:t xml:space="preserve">Tabla 3. </w:t>
      </w:r>
      <w:r>
        <w:rPr>
          <w:i/>
          <w:iCs/>
          <w:color w:val="0F1115"/>
        </w:rPr>
        <w:t>Análisis de Respuestas de IA sobre Combate al Desabasto de Medicinas</w:t>
      </w:r>
      <w:r w:rsidR="00C84D19">
        <w:rPr>
          <w:i/>
          <w:iCs/>
          <w:color w:val="0F1115"/>
        </w:rPr>
        <w:t>.</w:t>
      </w:r>
    </w:p>
    <w:tbl>
      <w:tblPr>
        <w:tblStyle w:val="a1"/>
        <w:tblW w:w="939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425"/>
        <w:gridCol w:w="1965"/>
        <w:gridCol w:w="2010"/>
        <w:gridCol w:w="1995"/>
        <w:gridCol w:w="1995"/>
      </w:tblGrid>
      <w:tr w:rsidR="00834E34" w14:paraId="6E9765DF" w14:textId="77777777">
        <w:trPr>
          <w:trHeight w:val="420"/>
        </w:trPr>
        <w:tc>
          <w:tcPr>
            <w:tcW w:w="1425"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2AC6B15E" w14:textId="77777777" w:rsidR="00834E34" w:rsidRDefault="00E0544B">
            <w:pPr>
              <w:widowControl w:val="0"/>
              <w:spacing w:before="80" w:after="40"/>
              <w:jc w:val="center"/>
              <w:rPr>
                <w:i/>
                <w:iCs/>
              </w:rPr>
            </w:pPr>
            <w:r>
              <w:rPr>
                <w:i/>
                <w:iCs/>
              </w:rPr>
              <w:t xml:space="preserve"> Criterio</w:t>
            </w:r>
          </w:p>
        </w:tc>
        <w:tc>
          <w:tcPr>
            <w:tcW w:w="1965"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238F3532" w14:textId="77777777" w:rsidR="00834E34" w:rsidRDefault="00E0544B">
            <w:pPr>
              <w:widowControl w:val="0"/>
              <w:spacing w:before="80" w:after="40"/>
              <w:jc w:val="center"/>
              <w:rPr>
                <w:i/>
                <w:iCs/>
              </w:rPr>
            </w:pPr>
            <w:r>
              <w:rPr>
                <w:i/>
                <w:iCs/>
              </w:rPr>
              <w:t>ChatGPT</w:t>
            </w:r>
          </w:p>
        </w:tc>
        <w:tc>
          <w:tcPr>
            <w:tcW w:w="2010"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47F89508" w14:textId="77777777" w:rsidR="00834E34" w:rsidRDefault="00E0544B">
            <w:pPr>
              <w:widowControl w:val="0"/>
              <w:spacing w:before="80" w:after="40"/>
              <w:jc w:val="center"/>
              <w:rPr>
                <w:i/>
                <w:iCs/>
              </w:rPr>
            </w:pPr>
            <w:r>
              <w:rPr>
                <w:i/>
                <w:iCs/>
              </w:rPr>
              <w:t>DeepSeek</w:t>
            </w:r>
          </w:p>
        </w:tc>
        <w:tc>
          <w:tcPr>
            <w:tcW w:w="1995" w:type="dxa"/>
            <w:tcBorders>
              <w:top w:val="single" w:sz="10" w:space="0" w:color="000000"/>
              <w:left w:val="nil"/>
              <w:bottom w:val="single" w:sz="5" w:space="0" w:color="000000"/>
              <w:right w:val="single" w:sz="8" w:space="0" w:color="000000"/>
            </w:tcBorders>
            <w:tcMar>
              <w:top w:w="0" w:type="dxa"/>
              <w:left w:w="100" w:type="dxa"/>
              <w:bottom w:w="0" w:type="dxa"/>
              <w:right w:w="100" w:type="dxa"/>
            </w:tcMar>
          </w:tcPr>
          <w:p w14:paraId="267A33E4" w14:textId="77777777" w:rsidR="00834E34" w:rsidRDefault="00E0544B">
            <w:pPr>
              <w:widowControl w:val="0"/>
              <w:spacing w:before="80" w:after="40"/>
              <w:jc w:val="center"/>
              <w:rPr>
                <w:i/>
                <w:iCs/>
              </w:rPr>
            </w:pPr>
            <w:r>
              <w:rPr>
                <w:i/>
                <w:iCs/>
              </w:rPr>
              <w:t>Gemini</w:t>
            </w:r>
          </w:p>
        </w:tc>
        <w:tc>
          <w:tcPr>
            <w:tcW w:w="1995" w:type="dxa"/>
            <w:tcBorders>
              <w:top w:val="single" w:sz="10" w:space="0" w:color="000000"/>
              <w:left w:val="single" w:sz="8" w:space="0" w:color="000000"/>
              <w:bottom w:val="single" w:sz="5" w:space="0" w:color="000000"/>
              <w:right w:val="nil"/>
            </w:tcBorders>
            <w:tcMar>
              <w:top w:w="0" w:type="dxa"/>
              <w:left w:w="100" w:type="dxa"/>
              <w:bottom w:w="0" w:type="dxa"/>
              <w:right w:w="100" w:type="dxa"/>
            </w:tcMar>
          </w:tcPr>
          <w:p w14:paraId="39257F74" w14:textId="77777777" w:rsidR="00834E34" w:rsidRDefault="00E0544B">
            <w:pPr>
              <w:widowControl w:val="0"/>
              <w:spacing w:before="80" w:after="40"/>
              <w:jc w:val="center"/>
              <w:rPr>
                <w:i/>
                <w:iCs/>
              </w:rPr>
            </w:pPr>
            <w:r>
              <w:rPr>
                <w:i/>
                <w:iCs/>
              </w:rPr>
              <w:t>Kimi</w:t>
            </w:r>
          </w:p>
        </w:tc>
      </w:tr>
      <w:tr w:rsidR="00834E34" w14:paraId="1AE7DBA7" w14:textId="77777777">
        <w:trPr>
          <w:trHeight w:val="405"/>
        </w:trPr>
        <w:tc>
          <w:tcPr>
            <w:tcW w:w="1425" w:type="dxa"/>
            <w:tcBorders>
              <w:top w:val="nil"/>
              <w:left w:val="nil"/>
              <w:bottom w:val="single" w:sz="5" w:space="0" w:color="000000"/>
              <w:right w:val="single" w:sz="5" w:space="0" w:color="000000"/>
            </w:tcBorders>
            <w:tcMar>
              <w:top w:w="0" w:type="dxa"/>
              <w:left w:w="100" w:type="dxa"/>
              <w:bottom w:w="0" w:type="dxa"/>
              <w:right w:w="100" w:type="dxa"/>
            </w:tcMar>
          </w:tcPr>
          <w:p w14:paraId="412C08F5" w14:textId="77777777" w:rsidR="00834E34" w:rsidRDefault="00E0544B">
            <w:pPr>
              <w:widowControl w:val="0"/>
              <w:spacing w:before="80" w:after="40"/>
              <w:jc w:val="center"/>
              <w:rPr>
                <w:i/>
                <w:iCs/>
              </w:rPr>
            </w:pPr>
            <w:r>
              <w:rPr>
                <w:i/>
                <w:iCs/>
              </w:rPr>
              <w:t>Enfoque general</w:t>
            </w:r>
          </w:p>
        </w:tc>
        <w:tc>
          <w:tcPr>
            <w:tcW w:w="1965" w:type="dxa"/>
            <w:tcBorders>
              <w:top w:val="nil"/>
              <w:left w:val="nil"/>
              <w:bottom w:val="single" w:sz="5" w:space="0" w:color="000000"/>
              <w:right w:val="single" w:sz="5" w:space="0" w:color="000000"/>
            </w:tcBorders>
            <w:tcMar>
              <w:top w:w="0" w:type="dxa"/>
              <w:left w:w="100" w:type="dxa"/>
              <w:bottom w:w="0" w:type="dxa"/>
              <w:right w:w="100" w:type="dxa"/>
            </w:tcMar>
          </w:tcPr>
          <w:p w14:paraId="51607D0A" w14:textId="77777777" w:rsidR="00834E34" w:rsidRDefault="00E0544B">
            <w:pPr>
              <w:widowControl w:val="0"/>
              <w:spacing w:before="80" w:after="40"/>
              <w:jc w:val="center"/>
              <w:rPr>
                <w:i/>
                <w:iCs/>
              </w:rPr>
            </w:pPr>
            <w:r>
              <w:rPr>
                <w:i/>
                <w:iCs/>
              </w:rPr>
              <w:t>Requiere una estrategia que integre el problema y las causas</w:t>
            </w:r>
          </w:p>
        </w:tc>
        <w:tc>
          <w:tcPr>
            <w:tcW w:w="2010" w:type="dxa"/>
            <w:tcBorders>
              <w:top w:val="nil"/>
              <w:left w:val="nil"/>
              <w:bottom w:val="single" w:sz="5" w:space="0" w:color="000000"/>
              <w:right w:val="single" w:sz="5" w:space="0" w:color="000000"/>
            </w:tcBorders>
            <w:tcMar>
              <w:top w:w="0" w:type="dxa"/>
              <w:left w:w="100" w:type="dxa"/>
              <w:bottom w:w="0" w:type="dxa"/>
              <w:right w:w="100" w:type="dxa"/>
            </w:tcMar>
          </w:tcPr>
          <w:p w14:paraId="7DA9C0E5" w14:textId="77777777" w:rsidR="00834E34" w:rsidRDefault="00E0544B">
            <w:pPr>
              <w:widowControl w:val="0"/>
              <w:spacing w:before="80" w:after="40"/>
              <w:jc w:val="center"/>
              <w:rPr>
                <w:i/>
                <w:iCs/>
              </w:rPr>
            </w:pPr>
            <w:r>
              <w:rPr>
                <w:i/>
                <w:iCs/>
              </w:rPr>
              <w:t xml:space="preserve">Requiere un ataque desde múltiples frentes ya que no hay una única solución </w:t>
            </w:r>
          </w:p>
        </w:tc>
        <w:tc>
          <w:tcPr>
            <w:tcW w:w="1995" w:type="dxa"/>
            <w:tcBorders>
              <w:top w:val="nil"/>
              <w:left w:val="nil"/>
              <w:bottom w:val="single" w:sz="5" w:space="0" w:color="000000"/>
              <w:right w:val="single" w:sz="8" w:space="0" w:color="000000"/>
            </w:tcBorders>
            <w:tcMar>
              <w:top w:w="0" w:type="dxa"/>
              <w:left w:w="100" w:type="dxa"/>
              <w:bottom w:w="0" w:type="dxa"/>
              <w:right w:w="100" w:type="dxa"/>
            </w:tcMar>
          </w:tcPr>
          <w:p w14:paraId="745A1058" w14:textId="77777777" w:rsidR="00834E34" w:rsidRDefault="00E0544B">
            <w:pPr>
              <w:widowControl w:val="0"/>
              <w:spacing w:before="80" w:after="40"/>
              <w:jc w:val="center"/>
              <w:rPr>
                <w:i/>
                <w:iCs/>
              </w:rPr>
            </w:pPr>
            <w:r>
              <w:rPr>
                <w:i/>
                <w:iCs/>
              </w:rPr>
              <w:t>Requiere un plan que aborde la planificación de la demanda hasta la entrega</w:t>
            </w:r>
          </w:p>
        </w:tc>
        <w:tc>
          <w:tcPr>
            <w:tcW w:w="1995" w:type="dxa"/>
            <w:tcBorders>
              <w:top w:val="nil"/>
              <w:left w:val="single" w:sz="8" w:space="0" w:color="000000"/>
              <w:bottom w:val="single" w:sz="5" w:space="0" w:color="000000"/>
              <w:right w:val="nil"/>
            </w:tcBorders>
            <w:tcMar>
              <w:top w:w="0" w:type="dxa"/>
              <w:left w:w="100" w:type="dxa"/>
              <w:bottom w:w="0" w:type="dxa"/>
              <w:right w:w="100" w:type="dxa"/>
            </w:tcMar>
          </w:tcPr>
          <w:p w14:paraId="3E31E340" w14:textId="77777777" w:rsidR="00834E34" w:rsidRDefault="00E0544B">
            <w:pPr>
              <w:widowControl w:val="0"/>
              <w:spacing w:before="80" w:after="40"/>
              <w:jc w:val="center"/>
              <w:rPr>
                <w:i/>
                <w:iCs/>
              </w:rPr>
            </w:pPr>
            <w:r>
              <w:rPr>
                <w:i/>
                <w:iCs/>
              </w:rPr>
              <w:t>Requiere un plan integral y sostenible que aborde las causas inmediatas y estructurales</w:t>
            </w:r>
          </w:p>
        </w:tc>
      </w:tr>
      <w:tr w:rsidR="00834E34" w14:paraId="5189C8DA" w14:textId="77777777">
        <w:trPr>
          <w:trHeight w:val="420"/>
        </w:trPr>
        <w:tc>
          <w:tcPr>
            <w:tcW w:w="1425" w:type="dxa"/>
            <w:tcBorders>
              <w:top w:val="nil"/>
              <w:left w:val="nil"/>
              <w:bottom w:val="single" w:sz="10" w:space="0" w:color="000000"/>
              <w:right w:val="single" w:sz="5" w:space="0" w:color="000000"/>
            </w:tcBorders>
            <w:tcMar>
              <w:top w:w="0" w:type="dxa"/>
              <w:left w:w="100" w:type="dxa"/>
              <w:bottom w:w="0" w:type="dxa"/>
              <w:right w:w="100" w:type="dxa"/>
            </w:tcMar>
          </w:tcPr>
          <w:p w14:paraId="4BE2617F" w14:textId="77777777" w:rsidR="00834E34" w:rsidRDefault="00E0544B">
            <w:pPr>
              <w:widowControl w:val="0"/>
              <w:spacing w:before="80" w:after="40"/>
              <w:jc w:val="center"/>
              <w:rPr>
                <w:i/>
                <w:iCs/>
              </w:rPr>
            </w:pPr>
            <w:r>
              <w:rPr>
                <w:i/>
                <w:iCs/>
              </w:rPr>
              <w:t>Aspectos clave</w:t>
            </w:r>
          </w:p>
        </w:tc>
        <w:tc>
          <w:tcPr>
            <w:tcW w:w="1965" w:type="dxa"/>
            <w:tcBorders>
              <w:top w:val="nil"/>
              <w:left w:val="nil"/>
              <w:bottom w:val="single" w:sz="10" w:space="0" w:color="000000"/>
              <w:right w:val="single" w:sz="5" w:space="0" w:color="000000"/>
            </w:tcBorders>
            <w:tcMar>
              <w:top w:w="0" w:type="dxa"/>
              <w:left w:w="100" w:type="dxa"/>
              <w:bottom w:w="0" w:type="dxa"/>
              <w:right w:w="100" w:type="dxa"/>
            </w:tcMar>
          </w:tcPr>
          <w:p w14:paraId="46C31815" w14:textId="77777777" w:rsidR="00834E34" w:rsidRDefault="00E0544B">
            <w:pPr>
              <w:widowControl w:val="0"/>
              <w:spacing w:before="80" w:after="40"/>
              <w:jc w:val="center"/>
              <w:rPr>
                <w:i/>
                <w:iCs/>
              </w:rPr>
            </w:pPr>
            <w:r>
              <w:rPr>
                <w:i/>
                <w:iCs/>
              </w:rPr>
              <w:t>Planeación y transparencia</w:t>
            </w:r>
          </w:p>
        </w:tc>
        <w:tc>
          <w:tcPr>
            <w:tcW w:w="2010" w:type="dxa"/>
            <w:tcBorders>
              <w:top w:val="nil"/>
              <w:left w:val="nil"/>
              <w:bottom w:val="single" w:sz="10" w:space="0" w:color="000000"/>
              <w:right w:val="single" w:sz="5" w:space="0" w:color="000000"/>
            </w:tcBorders>
            <w:tcMar>
              <w:top w:w="0" w:type="dxa"/>
              <w:left w:w="100" w:type="dxa"/>
              <w:bottom w:w="0" w:type="dxa"/>
              <w:right w:w="100" w:type="dxa"/>
            </w:tcMar>
          </w:tcPr>
          <w:p w14:paraId="457FBA64" w14:textId="77777777" w:rsidR="00834E34" w:rsidRDefault="00E0544B">
            <w:pPr>
              <w:widowControl w:val="0"/>
              <w:spacing w:before="80" w:after="40"/>
              <w:jc w:val="center"/>
              <w:rPr>
                <w:i/>
                <w:iCs/>
              </w:rPr>
            </w:pPr>
            <w:r>
              <w:rPr>
                <w:i/>
                <w:iCs/>
              </w:rPr>
              <w:t>Planeación predictiva cadena de suministros y reserva estratégica</w:t>
            </w:r>
          </w:p>
        </w:tc>
        <w:tc>
          <w:tcPr>
            <w:tcW w:w="1995" w:type="dxa"/>
            <w:tcBorders>
              <w:top w:val="nil"/>
              <w:left w:val="nil"/>
              <w:bottom w:val="single" w:sz="10" w:space="0" w:color="000000"/>
              <w:right w:val="single" w:sz="8" w:space="0" w:color="000000"/>
            </w:tcBorders>
            <w:tcMar>
              <w:top w:w="0" w:type="dxa"/>
              <w:left w:w="100" w:type="dxa"/>
              <w:bottom w:w="0" w:type="dxa"/>
              <w:right w:w="100" w:type="dxa"/>
            </w:tcMar>
          </w:tcPr>
          <w:p w14:paraId="501E6339" w14:textId="77777777" w:rsidR="00834E34" w:rsidRDefault="00E0544B">
            <w:pPr>
              <w:widowControl w:val="0"/>
              <w:spacing w:before="80" w:after="40"/>
              <w:jc w:val="center"/>
              <w:rPr>
                <w:i/>
                <w:iCs/>
              </w:rPr>
            </w:pPr>
            <w:r>
              <w:rPr>
                <w:i/>
                <w:iCs/>
              </w:rPr>
              <w:t>Cadena de suministros, colaboración público-privada</w:t>
            </w:r>
          </w:p>
        </w:tc>
        <w:tc>
          <w:tcPr>
            <w:tcW w:w="1995" w:type="dxa"/>
            <w:tcBorders>
              <w:top w:val="nil"/>
              <w:left w:val="single" w:sz="8" w:space="0" w:color="000000"/>
              <w:bottom w:val="single" w:sz="10" w:space="0" w:color="000000"/>
              <w:right w:val="nil"/>
            </w:tcBorders>
            <w:tcMar>
              <w:top w:w="0" w:type="dxa"/>
              <w:left w:w="100" w:type="dxa"/>
              <w:bottom w:w="0" w:type="dxa"/>
              <w:right w:w="100" w:type="dxa"/>
            </w:tcMar>
          </w:tcPr>
          <w:p w14:paraId="38D153D4" w14:textId="77777777" w:rsidR="00834E34" w:rsidRDefault="00E0544B">
            <w:pPr>
              <w:widowControl w:val="0"/>
              <w:spacing w:before="80" w:after="40"/>
              <w:jc w:val="center"/>
              <w:rPr>
                <w:i/>
                <w:iCs/>
              </w:rPr>
            </w:pPr>
            <w:r>
              <w:rPr>
                <w:i/>
                <w:iCs/>
              </w:rPr>
              <w:t>Diagnóstico, diversificación e incentivos económicos.</w:t>
            </w:r>
          </w:p>
        </w:tc>
      </w:tr>
      <w:tr w:rsidR="00834E34" w14:paraId="1D1130AF" w14:textId="77777777">
        <w:trPr>
          <w:trHeight w:val="420"/>
        </w:trPr>
        <w:tc>
          <w:tcPr>
            <w:tcW w:w="1425" w:type="dxa"/>
            <w:tcBorders>
              <w:top w:val="nil"/>
              <w:left w:val="nil"/>
              <w:bottom w:val="single" w:sz="10" w:space="0" w:color="000000"/>
              <w:right w:val="single" w:sz="5" w:space="0" w:color="000000"/>
            </w:tcBorders>
            <w:tcMar>
              <w:top w:w="0" w:type="dxa"/>
              <w:left w:w="100" w:type="dxa"/>
              <w:bottom w:w="0" w:type="dxa"/>
              <w:right w:w="100" w:type="dxa"/>
            </w:tcMar>
          </w:tcPr>
          <w:p w14:paraId="2DEB2F0F" w14:textId="77777777" w:rsidR="00834E34" w:rsidRDefault="00E0544B">
            <w:pPr>
              <w:widowControl w:val="0"/>
              <w:spacing w:before="80" w:after="40"/>
              <w:jc w:val="center"/>
              <w:rPr>
                <w:i/>
                <w:iCs/>
              </w:rPr>
            </w:pPr>
            <w:r>
              <w:rPr>
                <w:i/>
                <w:iCs/>
              </w:rPr>
              <w:t>Propuestas concretas</w:t>
            </w:r>
          </w:p>
        </w:tc>
        <w:tc>
          <w:tcPr>
            <w:tcW w:w="1965" w:type="dxa"/>
            <w:tcBorders>
              <w:top w:val="nil"/>
              <w:left w:val="nil"/>
              <w:bottom w:val="single" w:sz="10" w:space="0" w:color="000000"/>
              <w:right w:val="single" w:sz="5" w:space="0" w:color="000000"/>
            </w:tcBorders>
            <w:tcMar>
              <w:top w:w="0" w:type="dxa"/>
              <w:left w:w="100" w:type="dxa"/>
              <w:bottom w:w="0" w:type="dxa"/>
              <w:right w:w="100" w:type="dxa"/>
            </w:tcMar>
          </w:tcPr>
          <w:p w14:paraId="32792073" w14:textId="77777777" w:rsidR="00834E34" w:rsidRDefault="00E0544B">
            <w:pPr>
              <w:widowControl w:val="0"/>
              <w:spacing w:before="80" w:after="40"/>
              <w:jc w:val="center"/>
              <w:rPr>
                <w:i/>
                <w:iCs/>
              </w:rPr>
            </w:pPr>
            <w:r>
              <w:rPr>
                <w:i/>
                <w:iCs/>
              </w:rPr>
              <w:t>Sistemas digitales de planeación, producción nacional y un organismo especializado en logística</w:t>
            </w:r>
          </w:p>
        </w:tc>
        <w:tc>
          <w:tcPr>
            <w:tcW w:w="2010" w:type="dxa"/>
            <w:tcBorders>
              <w:top w:val="nil"/>
              <w:left w:val="nil"/>
              <w:bottom w:val="single" w:sz="10" w:space="0" w:color="000000"/>
              <w:right w:val="single" w:sz="5" w:space="0" w:color="000000"/>
            </w:tcBorders>
            <w:tcMar>
              <w:top w:w="0" w:type="dxa"/>
              <w:left w:w="100" w:type="dxa"/>
              <w:bottom w:w="0" w:type="dxa"/>
              <w:right w:w="100" w:type="dxa"/>
            </w:tcMar>
          </w:tcPr>
          <w:p w14:paraId="6BDEB8FC" w14:textId="77777777" w:rsidR="00834E34" w:rsidRDefault="00E0544B">
            <w:pPr>
              <w:widowControl w:val="0"/>
              <w:spacing w:before="80" w:after="40"/>
              <w:jc w:val="center"/>
              <w:rPr>
                <w:i/>
                <w:iCs/>
              </w:rPr>
            </w:pPr>
            <w:r>
              <w:rPr>
                <w:i/>
                <w:iCs/>
              </w:rPr>
              <w:t>Pronóstico de demanda con IA, Reserva estratégica nacional</w:t>
            </w:r>
          </w:p>
        </w:tc>
        <w:tc>
          <w:tcPr>
            <w:tcW w:w="1995" w:type="dxa"/>
            <w:tcBorders>
              <w:top w:val="nil"/>
              <w:left w:val="nil"/>
              <w:bottom w:val="single" w:sz="10" w:space="0" w:color="000000"/>
              <w:right w:val="single" w:sz="8" w:space="0" w:color="000000"/>
            </w:tcBorders>
            <w:tcMar>
              <w:top w:w="0" w:type="dxa"/>
              <w:left w:w="100" w:type="dxa"/>
              <w:bottom w:w="0" w:type="dxa"/>
              <w:right w:w="100" w:type="dxa"/>
            </w:tcMar>
          </w:tcPr>
          <w:p w14:paraId="5A6B9A40" w14:textId="77777777" w:rsidR="00834E34" w:rsidRDefault="00E0544B">
            <w:pPr>
              <w:widowControl w:val="0"/>
              <w:spacing w:before="80" w:after="40"/>
              <w:jc w:val="center"/>
              <w:rPr>
                <w:i/>
                <w:iCs/>
              </w:rPr>
            </w:pPr>
            <w:r>
              <w:rPr>
                <w:i/>
                <w:iCs/>
              </w:rPr>
              <w:t>Optimización de inventarios, receta electrónica y convenios de entrega directa</w:t>
            </w:r>
          </w:p>
        </w:tc>
        <w:tc>
          <w:tcPr>
            <w:tcW w:w="1995" w:type="dxa"/>
            <w:tcBorders>
              <w:top w:val="nil"/>
              <w:left w:val="single" w:sz="8" w:space="0" w:color="000000"/>
              <w:bottom w:val="single" w:sz="10" w:space="0" w:color="000000"/>
              <w:right w:val="nil"/>
            </w:tcBorders>
            <w:tcMar>
              <w:top w:w="0" w:type="dxa"/>
              <w:left w:w="100" w:type="dxa"/>
              <w:bottom w:w="0" w:type="dxa"/>
              <w:right w:w="100" w:type="dxa"/>
            </w:tcMar>
          </w:tcPr>
          <w:p w14:paraId="6D096915" w14:textId="77777777" w:rsidR="00834E34" w:rsidRDefault="00E0544B">
            <w:pPr>
              <w:widowControl w:val="0"/>
              <w:spacing w:before="80" w:after="40"/>
              <w:jc w:val="center"/>
              <w:rPr>
                <w:i/>
                <w:iCs/>
              </w:rPr>
            </w:pPr>
            <w:r>
              <w:rPr>
                <w:i/>
                <w:iCs/>
              </w:rPr>
              <w:t>Contratos plurianuales, inventarios de seguridad de 3 a 6 meses</w:t>
            </w:r>
          </w:p>
        </w:tc>
      </w:tr>
      <w:tr w:rsidR="00834E34" w14:paraId="717BF6F3" w14:textId="77777777">
        <w:trPr>
          <w:trHeight w:val="420"/>
        </w:trPr>
        <w:tc>
          <w:tcPr>
            <w:tcW w:w="1425" w:type="dxa"/>
            <w:tcBorders>
              <w:top w:val="nil"/>
              <w:left w:val="nil"/>
              <w:bottom w:val="single" w:sz="10" w:space="0" w:color="000000"/>
              <w:right w:val="single" w:sz="5" w:space="0" w:color="000000"/>
            </w:tcBorders>
            <w:tcMar>
              <w:top w:w="0" w:type="dxa"/>
              <w:left w:w="100" w:type="dxa"/>
              <w:bottom w:w="0" w:type="dxa"/>
              <w:right w:w="100" w:type="dxa"/>
            </w:tcMar>
          </w:tcPr>
          <w:p w14:paraId="37856C56" w14:textId="77777777" w:rsidR="00834E34" w:rsidRDefault="00E0544B">
            <w:pPr>
              <w:widowControl w:val="0"/>
              <w:spacing w:before="80" w:after="40"/>
              <w:jc w:val="center"/>
              <w:rPr>
                <w:i/>
                <w:iCs/>
              </w:rPr>
            </w:pPr>
            <w:r>
              <w:rPr>
                <w:i/>
                <w:iCs/>
              </w:rPr>
              <w:t>Enfoque en transparencia</w:t>
            </w:r>
          </w:p>
        </w:tc>
        <w:tc>
          <w:tcPr>
            <w:tcW w:w="1965" w:type="dxa"/>
            <w:tcBorders>
              <w:top w:val="nil"/>
              <w:left w:val="nil"/>
              <w:bottom w:val="single" w:sz="10" w:space="0" w:color="000000"/>
              <w:right w:val="single" w:sz="5" w:space="0" w:color="000000"/>
            </w:tcBorders>
            <w:tcMar>
              <w:top w:w="0" w:type="dxa"/>
              <w:left w:w="100" w:type="dxa"/>
              <w:bottom w:w="0" w:type="dxa"/>
              <w:right w:w="100" w:type="dxa"/>
            </w:tcMar>
          </w:tcPr>
          <w:p w14:paraId="1499F304" w14:textId="77777777" w:rsidR="00834E34" w:rsidRDefault="00E0544B">
            <w:pPr>
              <w:widowControl w:val="0"/>
              <w:spacing w:before="80" w:after="40"/>
              <w:jc w:val="center"/>
              <w:rPr>
                <w:i/>
                <w:iCs/>
              </w:rPr>
            </w:pPr>
            <w:r>
              <w:rPr>
                <w:i/>
                <w:iCs/>
              </w:rPr>
              <w:t>Explícito: hacer públicas todas las licitaciones, auditorías ciudadanas</w:t>
            </w:r>
          </w:p>
        </w:tc>
        <w:tc>
          <w:tcPr>
            <w:tcW w:w="2010" w:type="dxa"/>
            <w:tcBorders>
              <w:top w:val="nil"/>
              <w:left w:val="nil"/>
              <w:bottom w:val="single" w:sz="10" w:space="0" w:color="000000"/>
              <w:right w:val="single" w:sz="5" w:space="0" w:color="000000"/>
            </w:tcBorders>
            <w:tcMar>
              <w:top w:w="0" w:type="dxa"/>
              <w:left w:w="100" w:type="dxa"/>
              <w:bottom w:w="0" w:type="dxa"/>
              <w:right w:w="100" w:type="dxa"/>
            </w:tcMar>
          </w:tcPr>
          <w:p w14:paraId="710C96C6" w14:textId="77777777" w:rsidR="00834E34" w:rsidRDefault="00E0544B">
            <w:pPr>
              <w:widowControl w:val="0"/>
              <w:spacing w:before="80" w:after="40"/>
              <w:jc w:val="center"/>
              <w:rPr>
                <w:i/>
                <w:iCs/>
              </w:rPr>
            </w:pPr>
            <w:r>
              <w:rPr>
                <w:i/>
                <w:iCs/>
              </w:rPr>
              <w:t>Central: portal de datos abiertos, auditoría externa y combate a la corrupción</w:t>
            </w:r>
          </w:p>
        </w:tc>
        <w:tc>
          <w:tcPr>
            <w:tcW w:w="1995" w:type="dxa"/>
            <w:tcBorders>
              <w:top w:val="nil"/>
              <w:left w:val="nil"/>
              <w:bottom w:val="single" w:sz="10" w:space="0" w:color="000000"/>
              <w:right w:val="single" w:sz="8" w:space="0" w:color="000000"/>
            </w:tcBorders>
            <w:tcMar>
              <w:top w:w="0" w:type="dxa"/>
              <w:left w:w="100" w:type="dxa"/>
              <w:bottom w:w="0" w:type="dxa"/>
              <w:right w:w="100" w:type="dxa"/>
            </w:tcMar>
          </w:tcPr>
          <w:p w14:paraId="0B011E39" w14:textId="77777777" w:rsidR="00834E34" w:rsidRDefault="00E0544B">
            <w:pPr>
              <w:widowControl w:val="0"/>
              <w:spacing w:before="80" w:after="40"/>
              <w:jc w:val="center"/>
              <w:rPr>
                <w:i/>
                <w:iCs/>
              </w:rPr>
            </w:pPr>
            <w:r>
              <w:rPr>
                <w:i/>
                <w:iCs/>
              </w:rPr>
              <w:t>Presente: Transparencia en compras y pagos</w:t>
            </w:r>
          </w:p>
        </w:tc>
        <w:tc>
          <w:tcPr>
            <w:tcW w:w="1995" w:type="dxa"/>
            <w:tcBorders>
              <w:top w:val="nil"/>
              <w:left w:val="single" w:sz="8" w:space="0" w:color="000000"/>
              <w:bottom w:val="single" w:sz="10" w:space="0" w:color="000000"/>
              <w:right w:val="nil"/>
            </w:tcBorders>
            <w:tcMar>
              <w:top w:w="0" w:type="dxa"/>
              <w:left w:w="100" w:type="dxa"/>
              <w:bottom w:w="0" w:type="dxa"/>
              <w:right w:w="100" w:type="dxa"/>
            </w:tcMar>
          </w:tcPr>
          <w:p w14:paraId="44F12096" w14:textId="77777777" w:rsidR="00834E34" w:rsidRDefault="00E0544B">
            <w:pPr>
              <w:widowControl w:val="0"/>
              <w:spacing w:before="80" w:after="40"/>
              <w:jc w:val="center"/>
              <w:rPr>
                <w:i/>
                <w:iCs/>
              </w:rPr>
            </w:pPr>
            <w:r>
              <w:rPr>
                <w:i/>
                <w:iCs/>
              </w:rPr>
              <w:t>Implícito: transparencia de procedencia y calidad, criterios éticos transparentes</w:t>
            </w:r>
          </w:p>
        </w:tc>
      </w:tr>
    </w:tbl>
    <w:p w14:paraId="3BBDCE06" w14:textId="77777777" w:rsidR="00834E34" w:rsidRDefault="00834E34">
      <w:pPr>
        <w:widowControl w:val="0"/>
        <w:spacing w:after="240"/>
        <w:ind w:right="35"/>
        <w:jc w:val="center"/>
      </w:pPr>
    </w:p>
    <w:p w14:paraId="7B959EDB" w14:textId="77777777" w:rsidR="00834E34" w:rsidRDefault="00E0544B">
      <w:pPr>
        <w:pStyle w:val="Ttulo2"/>
        <w:widowControl w:val="0"/>
        <w:numPr>
          <w:ilvl w:val="1"/>
          <w:numId w:val="1"/>
        </w:numPr>
        <w:spacing w:before="120" w:after="120"/>
        <w:ind w:right="35"/>
      </w:pPr>
      <w:bookmarkStart w:id="22" w:name="_ofa8wpo3f4kv" w:colFirst="0" w:colLast="0"/>
      <w:bookmarkEnd w:id="22"/>
      <w:r>
        <w:rPr>
          <w:color w:val="0F1115"/>
          <w:highlight w:val="white"/>
        </w:rPr>
        <w:t>Fundamentos de física teórica avanzada</w:t>
      </w:r>
    </w:p>
    <w:p w14:paraId="35FC403B" w14:textId="77777777" w:rsidR="00834E34" w:rsidRDefault="00E0544B">
      <w:pPr>
        <w:widowControl w:val="0"/>
        <w:ind w:right="35"/>
        <w:rPr>
          <w:color w:val="0F1115"/>
          <w:sz w:val="16"/>
          <w:szCs w:val="16"/>
          <w:highlight w:val="white"/>
        </w:rPr>
      </w:pPr>
      <w:r>
        <w:rPr>
          <w:color w:val="0F1115"/>
          <w:highlight w:val="white"/>
        </w:rPr>
        <w:t xml:space="preserve">Pusimos a prueba a las </w:t>
      </w:r>
      <w:proofErr w:type="spellStart"/>
      <w:r>
        <w:rPr>
          <w:color w:val="0F1115"/>
          <w:highlight w:val="white"/>
        </w:rPr>
        <w:t>IAs</w:t>
      </w:r>
      <w:proofErr w:type="spellEnd"/>
      <w:r>
        <w:rPr>
          <w:color w:val="0F1115"/>
          <w:highlight w:val="white"/>
        </w:rPr>
        <w:t xml:space="preserve"> con una pregunta realmente difícil, de esas que solo los físicos más avanzados se hacen: "¿Es el espacio-tiempo una ilusión que nace del entrelazamiento cuántico?" Esto es el corazón de cómo nace el universo.</w:t>
      </w:r>
    </w:p>
    <w:p w14:paraId="2938D6E6" w14:textId="77777777" w:rsidR="00834E34" w:rsidRDefault="00E0544B">
      <w:pPr>
        <w:pStyle w:val="Ttulo3"/>
        <w:widowControl w:val="0"/>
        <w:numPr>
          <w:ilvl w:val="2"/>
          <w:numId w:val="1"/>
        </w:numPr>
        <w:spacing w:before="120" w:after="120"/>
        <w:ind w:right="35"/>
      </w:pPr>
      <w:bookmarkStart w:id="23" w:name="_bn23odxolhi2" w:colFirst="0" w:colLast="0"/>
      <w:bookmarkEnd w:id="23"/>
      <w:r>
        <w:t>ChatGPT</w:t>
      </w:r>
    </w:p>
    <w:p w14:paraId="049909A1" w14:textId="77777777" w:rsidR="00834E34" w:rsidRDefault="00E0544B">
      <w:pPr>
        <w:widowControl w:val="0"/>
        <w:ind w:right="35"/>
        <w:rPr>
          <w:color w:val="0F1115"/>
          <w:highlight w:val="white"/>
        </w:rPr>
      </w:pPr>
      <w:r>
        <w:rPr>
          <w:color w:val="0F1115"/>
          <w:highlight w:val="white"/>
        </w:rPr>
        <w:t>ChatGPT fue directo al grano y presentó la idea como una hipótesis elegante y con sentido matemático. Básicamente, dijo que es una forma coherente de juntar la gravedad con la mecánica cuántica, y que el espacio y el tiempo parecen ser algo que nace de la estructura de la información cuántica, no algo que está allí de forma fundamental.</w:t>
      </w:r>
    </w:p>
    <w:p w14:paraId="7E131151" w14:textId="77777777" w:rsidR="00834E34" w:rsidRDefault="00E0544B">
      <w:pPr>
        <w:pStyle w:val="Ttulo3"/>
        <w:widowControl w:val="0"/>
        <w:numPr>
          <w:ilvl w:val="2"/>
          <w:numId w:val="1"/>
        </w:numPr>
        <w:spacing w:before="120" w:after="120"/>
        <w:ind w:right="35"/>
      </w:pPr>
      <w:bookmarkStart w:id="24" w:name="_y0q4ksho6cp1" w:colFirst="0" w:colLast="0"/>
      <w:bookmarkEnd w:id="24"/>
      <w:r>
        <w:t>DeepSeek</w:t>
      </w:r>
    </w:p>
    <w:p w14:paraId="3C8C5A98" w14:textId="77777777" w:rsidR="00834E34" w:rsidRDefault="00E0544B">
      <w:pPr>
        <w:widowControl w:val="0"/>
        <w:ind w:right="35"/>
        <w:rPr>
          <w:sz w:val="16"/>
          <w:szCs w:val="16"/>
        </w:rPr>
      </w:pPr>
      <w:r>
        <w:rPr>
          <w:color w:val="0F1115"/>
          <w:highlight w:val="white"/>
        </w:rPr>
        <w:t xml:space="preserve">DeepSeek se puso muy técnico y se centró en la famosa correspondencia </w:t>
      </w:r>
      <w:proofErr w:type="spellStart"/>
      <w:r>
        <w:rPr>
          <w:color w:val="0F1115"/>
          <w:highlight w:val="white"/>
        </w:rPr>
        <w:t>AdS</w:t>
      </w:r>
      <w:proofErr w:type="spellEnd"/>
      <w:r>
        <w:rPr>
          <w:color w:val="0F1115"/>
          <w:highlight w:val="white"/>
        </w:rPr>
        <w:t>/CFT. Su análisis fue muy detallado, distinguiendo si el espacio es algo que realmente surge o si es solo una forma diferente de ver las cosas ("ilusión"). Lo más importante es que nos pidió ser muy cautelosos: advirtió que esta teoría funciona en un universo teórico llamado "</w:t>
      </w:r>
      <w:proofErr w:type="spellStart"/>
      <w:r>
        <w:rPr>
          <w:color w:val="0F1115"/>
          <w:highlight w:val="white"/>
        </w:rPr>
        <w:t>Anti-de</w:t>
      </w:r>
      <w:proofErr w:type="spellEnd"/>
      <w:r>
        <w:rPr>
          <w:color w:val="0F1115"/>
          <w:highlight w:val="white"/>
        </w:rPr>
        <w:t xml:space="preserve"> </w:t>
      </w:r>
      <w:proofErr w:type="spellStart"/>
      <w:r>
        <w:rPr>
          <w:color w:val="0F1115"/>
          <w:highlight w:val="white"/>
        </w:rPr>
        <w:t>Sitter</w:t>
      </w:r>
      <w:proofErr w:type="spellEnd"/>
      <w:r>
        <w:rPr>
          <w:color w:val="0F1115"/>
          <w:highlight w:val="white"/>
        </w:rPr>
        <w:t>", que no es como el nuestro. Nos recordó que hay que tener cuidado al usar esta idea para describir nuestra propia realidad cósmica.</w:t>
      </w:r>
    </w:p>
    <w:p w14:paraId="6F7C50F5" w14:textId="77777777" w:rsidR="00834E34" w:rsidRDefault="00E0544B">
      <w:pPr>
        <w:pStyle w:val="Ttulo3"/>
        <w:widowControl w:val="0"/>
        <w:numPr>
          <w:ilvl w:val="2"/>
          <w:numId w:val="1"/>
        </w:numPr>
        <w:spacing w:before="120" w:after="120"/>
        <w:ind w:right="35"/>
      </w:pPr>
      <w:bookmarkStart w:id="25" w:name="_j33eqpb3txhw" w:colFirst="0" w:colLast="0"/>
      <w:bookmarkEnd w:id="25"/>
      <w:r>
        <w:t>Gemini</w:t>
      </w:r>
    </w:p>
    <w:p w14:paraId="0F3ABBBF" w14:textId="77777777" w:rsidR="00834E34" w:rsidRDefault="00E0544B">
      <w:pPr>
        <w:widowControl w:val="0"/>
        <w:ind w:right="35"/>
      </w:pPr>
      <w:r>
        <w:rPr>
          <w:color w:val="0F1115"/>
          <w:highlight w:val="white"/>
        </w:rPr>
        <w:t>Gemini tomó una ruta diferente y se concentró en el tiempo. Habló de la teoría Page-</w:t>
      </w:r>
      <w:proofErr w:type="spellStart"/>
      <w:r>
        <w:rPr>
          <w:color w:val="0F1115"/>
          <w:highlight w:val="white"/>
        </w:rPr>
        <w:t>Wootters</w:t>
      </w:r>
      <w:proofErr w:type="spellEnd"/>
      <w:r>
        <w:rPr>
          <w:color w:val="0F1115"/>
          <w:highlight w:val="white"/>
        </w:rPr>
        <w:t>, sugiriendo que el tiempo es algo que emerge a través de un mecanismo específico. Presentó esta idea como una posible solución para poner de acuerdo cómo la Relatividad (que trata el tiempo de una forma) y la Mecánica Cuántica (que lo trata de otra) entienden esta dimensión fundamental.</w:t>
      </w:r>
    </w:p>
    <w:p w14:paraId="5B4141DC" w14:textId="77777777" w:rsidR="00834E34" w:rsidRDefault="00E0544B">
      <w:pPr>
        <w:pStyle w:val="Ttulo3"/>
        <w:widowControl w:val="0"/>
        <w:numPr>
          <w:ilvl w:val="2"/>
          <w:numId w:val="1"/>
        </w:numPr>
        <w:spacing w:before="120" w:after="120"/>
        <w:ind w:right="35"/>
      </w:pPr>
      <w:bookmarkStart w:id="26" w:name="_iyjxnklud32h" w:colFirst="0" w:colLast="0"/>
      <w:bookmarkEnd w:id="26"/>
      <w:r>
        <w:t>Kimi</w:t>
      </w:r>
    </w:p>
    <w:p w14:paraId="71888CF4" w14:textId="77777777" w:rsidR="00834E34" w:rsidRDefault="00E0544B">
      <w:pPr>
        <w:widowControl w:val="0"/>
        <w:ind w:right="35"/>
        <w:rPr>
          <w:color w:val="0F1115"/>
          <w:highlight w:val="white"/>
        </w:rPr>
      </w:pPr>
      <w:r>
        <w:rPr>
          <w:color w:val="0F1115"/>
          <w:highlight w:val="white"/>
        </w:rPr>
        <w:t>Kimi ofreció la respuesta más al día, incorporando investigaciones muy recientes. Hizo una distinción muy estricta y clara: una cosa es que el espacio sea una propiedad emergente, y otra cosa muy distinta es que sea una simple ilusión psicológica. Su respuesta mostró que conoce las últimas discusiones entre los expertos.</w:t>
      </w:r>
    </w:p>
    <w:p w14:paraId="1E946C65" w14:textId="1EEEEE8F" w:rsidR="00834E34" w:rsidRDefault="00E0544B">
      <w:pPr>
        <w:widowControl w:val="0"/>
        <w:ind w:right="35"/>
        <w:jc w:val="center"/>
        <w:rPr>
          <w:i/>
          <w:iCs/>
        </w:rPr>
      </w:pPr>
      <w:r>
        <w:rPr>
          <w:i/>
          <w:iCs/>
        </w:rPr>
        <w:t xml:space="preserve">Tabla 4. </w:t>
      </w:r>
      <w:r>
        <w:rPr>
          <w:i/>
          <w:iCs/>
          <w:color w:val="0F1115"/>
          <w:highlight w:val="white"/>
        </w:rPr>
        <w:t>Análisis Comparativo de Perspectivas sobre la Emergencia del Espacio-Tiempo desde el Entrelazamiento Cuántico</w:t>
      </w:r>
      <w:r w:rsidR="00C84D19">
        <w:rPr>
          <w:i/>
          <w:iCs/>
          <w:color w:val="0F1115"/>
        </w:rPr>
        <w:t>.</w:t>
      </w:r>
    </w:p>
    <w:tbl>
      <w:tblPr>
        <w:tblStyle w:val="a2"/>
        <w:tblW w:w="939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440"/>
        <w:gridCol w:w="1950"/>
        <w:gridCol w:w="2010"/>
        <w:gridCol w:w="1995"/>
        <w:gridCol w:w="1995"/>
      </w:tblGrid>
      <w:tr w:rsidR="00834E34" w14:paraId="52E2EB65" w14:textId="77777777">
        <w:trPr>
          <w:trHeight w:val="420"/>
        </w:trPr>
        <w:tc>
          <w:tcPr>
            <w:tcW w:w="1440"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3F0F2CFE" w14:textId="77777777" w:rsidR="00834E34" w:rsidRDefault="00E0544B">
            <w:pPr>
              <w:widowControl w:val="0"/>
              <w:spacing w:before="80" w:after="40"/>
              <w:jc w:val="center"/>
              <w:rPr>
                <w:i/>
                <w:iCs/>
              </w:rPr>
            </w:pPr>
            <w:r>
              <w:rPr>
                <w:i/>
                <w:iCs/>
              </w:rPr>
              <w:t xml:space="preserve"> Criterio</w:t>
            </w:r>
          </w:p>
        </w:tc>
        <w:tc>
          <w:tcPr>
            <w:tcW w:w="1950"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443DDEFF" w14:textId="77777777" w:rsidR="00834E34" w:rsidRDefault="00E0544B">
            <w:pPr>
              <w:widowControl w:val="0"/>
              <w:spacing w:before="80" w:after="40"/>
              <w:jc w:val="center"/>
              <w:rPr>
                <w:i/>
                <w:iCs/>
              </w:rPr>
            </w:pPr>
            <w:r>
              <w:rPr>
                <w:i/>
                <w:iCs/>
              </w:rPr>
              <w:t>ChatGPT</w:t>
            </w:r>
          </w:p>
        </w:tc>
        <w:tc>
          <w:tcPr>
            <w:tcW w:w="2010"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14A0A47F" w14:textId="77777777" w:rsidR="00834E34" w:rsidRDefault="00E0544B">
            <w:pPr>
              <w:widowControl w:val="0"/>
              <w:spacing w:before="80" w:after="40"/>
              <w:jc w:val="center"/>
              <w:rPr>
                <w:i/>
                <w:iCs/>
              </w:rPr>
            </w:pPr>
            <w:r>
              <w:rPr>
                <w:i/>
                <w:iCs/>
              </w:rPr>
              <w:t>DeepSeek</w:t>
            </w:r>
          </w:p>
        </w:tc>
        <w:tc>
          <w:tcPr>
            <w:tcW w:w="1995" w:type="dxa"/>
            <w:tcBorders>
              <w:top w:val="single" w:sz="10" w:space="0" w:color="000000"/>
              <w:left w:val="nil"/>
              <w:bottom w:val="single" w:sz="5" w:space="0" w:color="000000"/>
              <w:right w:val="single" w:sz="8" w:space="0" w:color="000000"/>
            </w:tcBorders>
            <w:tcMar>
              <w:top w:w="0" w:type="dxa"/>
              <w:left w:w="100" w:type="dxa"/>
              <w:bottom w:w="0" w:type="dxa"/>
              <w:right w:w="100" w:type="dxa"/>
            </w:tcMar>
          </w:tcPr>
          <w:p w14:paraId="71D35707" w14:textId="77777777" w:rsidR="00834E34" w:rsidRDefault="00E0544B">
            <w:pPr>
              <w:widowControl w:val="0"/>
              <w:spacing w:before="80" w:after="40"/>
              <w:jc w:val="center"/>
              <w:rPr>
                <w:i/>
                <w:iCs/>
              </w:rPr>
            </w:pPr>
            <w:r>
              <w:rPr>
                <w:i/>
                <w:iCs/>
              </w:rPr>
              <w:t>Gemini</w:t>
            </w:r>
          </w:p>
        </w:tc>
        <w:tc>
          <w:tcPr>
            <w:tcW w:w="1995" w:type="dxa"/>
            <w:tcBorders>
              <w:top w:val="single" w:sz="10" w:space="0" w:color="000000"/>
              <w:left w:val="single" w:sz="8" w:space="0" w:color="000000"/>
              <w:bottom w:val="single" w:sz="5" w:space="0" w:color="000000"/>
              <w:right w:val="nil"/>
            </w:tcBorders>
            <w:tcMar>
              <w:top w:w="0" w:type="dxa"/>
              <w:left w:w="100" w:type="dxa"/>
              <w:bottom w:w="0" w:type="dxa"/>
              <w:right w:w="100" w:type="dxa"/>
            </w:tcMar>
          </w:tcPr>
          <w:p w14:paraId="53BE9EE7" w14:textId="77777777" w:rsidR="00834E34" w:rsidRDefault="00E0544B">
            <w:pPr>
              <w:widowControl w:val="0"/>
              <w:spacing w:before="80" w:after="40"/>
              <w:jc w:val="center"/>
              <w:rPr>
                <w:i/>
                <w:iCs/>
              </w:rPr>
            </w:pPr>
            <w:r>
              <w:rPr>
                <w:i/>
                <w:iCs/>
              </w:rPr>
              <w:t>Kimi</w:t>
            </w:r>
          </w:p>
        </w:tc>
      </w:tr>
      <w:tr w:rsidR="00834E34" w14:paraId="66B2EC4D" w14:textId="77777777">
        <w:trPr>
          <w:trHeight w:val="405"/>
        </w:trPr>
        <w:tc>
          <w:tcPr>
            <w:tcW w:w="1440" w:type="dxa"/>
            <w:tcBorders>
              <w:top w:val="nil"/>
              <w:left w:val="nil"/>
              <w:bottom w:val="single" w:sz="5" w:space="0" w:color="000000"/>
              <w:right w:val="single" w:sz="5" w:space="0" w:color="000000"/>
            </w:tcBorders>
            <w:tcMar>
              <w:top w:w="0" w:type="dxa"/>
              <w:left w:w="100" w:type="dxa"/>
              <w:bottom w:w="0" w:type="dxa"/>
              <w:right w:w="100" w:type="dxa"/>
            </w:tcMar>
          </w:tcPr>
          <w:p w14:paraId="666D559C" w14:textId="77777777" w:rsidR="00834E34" w:rsidRDefault="00E0544B">
            <w:pPr>
              <w:widowControl w:val="0"/>
              <w:spacing w:before="80" w:after="40"/>
              <w:jc w:val="center"/>
              <w:rPr>
                <w:i/>
                <w:iCs/>
              </w:rPr>
            </w:pPr>
            <w:r>
              <w:rPr>
                <w:i/>
                <w:iCs/>
              </w:rPr>
              <w:t>Enfoque general</w:t>
            </w:r>
          </w:p>
        </w:tc>
        <w:tc>
          <w:tcPr>
            <w:tcW w:w="1950" w:type="dxa"/>
            <w:tcBorders>
              <w:top w:val="nil"/>
              <w:left w:val="nil"/>
              <w:bottom w:val="single" w:sz="5" w:space="0" w:color="000000"/>
              <w:right w:val="single" w:sz="5" w:space="0" w:color="000000"/>
            </w:tcBorders>
            <w:tcMar>
              <w:top w:w="0" w:type="dxa"/>
              <w:left w:w="100" w:type="dxa"/>
              <w:bottom w:w="0" w:type="dxa"/>
              <w:right w:w="100" w:type="dxa"/>
            </w:tcMar>
          </w:tcPr>
          <w:p w14:paraId="0B7A2C4C" w14:textId="77777777" w:rsidR="00834E34" w:rsidRDefault="00E0544B">
            <w:pPr>
              <w:widowControl w:val="0"/>
              <w:spacing w:before="80" w:after="40"/>
              <w:jc w:val="center"/>
              <w:rPr>
                <w:i/>
                <w:iCs/>
              </w:rPr>
            </w:pPr>
            <w:r>
              <w:rPr>
                <w:i/>
                <w:iCs/>
              </w:rPr>
              <w:t>Hipótesis prometedora pero no comprobada</w:t>
            </w:r>
          </w:p>
        </w:tc>
        <w:tc>
          <w:tcPr>
            <w:tcW w:w="2010" w:type="dxa"/>
            <w:tcBorders>
              <w:top w:val="nil"/>
              <w:left w:val="nil"/>
              <w:bottom w:val="single" w:sz="5" w:space="0" w:color="000000"/>
              <w:right w:val="single" w:sz="5" w:space="0" w:color="000000"/>
            </w:tcBorders>
            <w:tcMar>
              <w:top w:w="0" w:type="dxa"/>
              <w:left w:w="100" w:type="dxa"/>
              <w:bottom w:w="0" w:type="dxa"/>
              <w:right w:w="100" w:type="dxa"/>
            </w:tcMar>
          </w:tcPr>
          <w:p w14:paraId="6902254A" w14:textId="77777777" w:rsidR="00834E34" w:rsidRDefault="00E0544B">
            <w:pPr>
              <w:widowControl w:val="0"/>
              <w:spacing w:before="80" w:after="40"/>
              <w:jc w:val="center"/>
              <w:rPr>
                <w:i/>
                <w:iCs/>
              </w:rPr>
            </w:pPr>
            <w:r>
              <w:rPr>
                <w:i/>
                <w:iCs/>
              </w:rPr>
              <w:t>Hipótesis fascinantes con base sólida teórica</w:t>
            </w:r>
          </w:p>
        </w:tc>
        <w:tc>
          <w:tcPr>
            <w:tcW w:w="1995" w:type="dxa"/>
            <w:tcBorders>
              <w:top w:val="nil"/>
              <w:left w:val="nil"/>
              <w:bottom w:val="single" w:sz="5" w:space="0" w:color="000000"/>
              <w:right w:val="single" w:sz="8" w:space="0" w:color="000000"/>
            </w:tcBorders>
            <w:tcMar>
              <w:top w:w="0" w:type="dxa"/>
              <w:left w:w="100" w:type="dxa"/>
              <w:bottom w:w="0" w:type="dxa"/>
              <w:right w:w="100" w:type="dxa"/>
            </w:tcMar>
          </w:tcPr>
          <w:p w14:paraId="125D853E" w14:textId="77777777" w:rsidR="00834E34" w:rsidRDefault="00E0544B">
            <w:pPr>
              <w:widowControl w:val="0"/>
              <w:spacing w:before="80" w:after="40"/>
              <w:jc w:val="center"/>
              <w:rPr>
                <w:i/>
                <w:iCs/>
              </w:rPr>
            </w:pPr>
            <w:r>
              <w:rPr>
                <w:i/>
                <w:iCs/>
              </w:rPr>
              <w:t>Hipótesis activa y sugerente</w:t>
            </w:r>
          </w:p>
        </w:tc>
        <w:tc>
          <w:tcPr>
            <w:tcW w:w="1995" w:type="dxa"/>
            <w:tcBorders>
              <w:top w:val="nil"/>
              <w:left w:val="single" w:sz="8" w:space="0" w:color="000000"/>
              <w:bottom w:val="single" w:sz="5" w:space="0" w:color="000000"/>
              <w:right w:val="nil"/>
            </w:tcBorders>
            <w:tcMar>
              <w:top w:w="0" w:type="dxa"/>
              <w:left w:w="100" w:type="dxa"/>
              <w:bottom w:w="0" w:type="dxa"/>
              <w:right w:w="100" w:type="dxa"/>
            </w:tcMar>
          </w:tcPr>
          <w:p w14:paraId="28CD4A95" w14:textId="77777777" w:rsidR="00834E34" w:rsidRDefault="00E0544B">
            <w:pPr>
              <w:widowControl w:val="0"/>
              <w:spacing w:before="80" w:after="40"/>
              <w:jc w:val="center"/>
              <w:rPr>
                <w:i/>
                <w:iCs/>
              </w:rPr>
            </w:pPr>
            <w:r>
              <w:rPr>
                <w:i/>
                <w:iCs/>
              </w:rPr>
              <w:t>Hipótesis científica seria pero no establecida</w:t>
            </w:r>
          </w:p>
        </w:tc>
      </w:tr>
      <w:tr w:rsidR="00834E34" w14:paraId="44D81E38" w14:textId="77777777">
        <w:trPr>
          <w:trHeight w:val="420"/>
        </w:trPr>
        <w:tc>
          <w:tcPr>
            <w:tcW w:w="1440" w:type="dxa"/>
            <w:tcBorders>
              <w:top w:val="nil"/>
              <w:left w:val="nil"/>
              <w:bottom w:val="single" w:sz="10" w:space="0" w:color="000000"/>
              <w:right w:val="single" w:sz="5" w:space="0" w:color="000000"/>
            </w:tcBorders>
            <w:tcMar>
              <w:top w:w="0" w:type="dxa"/>
              <w:left w:w="100" w:type="dxa"/>
              <w:bottom w:w="0" w:type="dxa"/>
              <w:right w:w="100" w:type="dxa"/>
            </w:tcMar>
          </w:tcPr>
          <w:p w14:paraId="79202C52" w14:textId="77777777" w:rsidR="00834E34" w:rsidRDefault="00E0544B">
            <w:pPr>
              <w:widowControl w:val="0"/>
              <w:spacing w:before="80" w:after="40"/>
              <w:jc w:val="center"/>
              <w:rPr>
                <w:i/>
                <w:iCs/>
              </w:rPr>
            </w:pPr>
            <w:r>
              <w:rPr>
                <w:i/>
                <w:iCs/>
              </w:rPr>
              <w:t xml:space="preserve">Evidencias precisas </w:t>
            </w:r>
          </w:p>
        </w:tc>
        <w:tc>
          <w:tcPr>
            <w:tcW w:w="1950" w:type="dxa"/>
            <w:tcBorders>
              <w:top w:val="nil"/>
              <w:left w:val="nil"/>
              <w:bottom w:val="single" w:sz="10" w:space="0" w:color="000000"/>
              <w:right w:val="single" w:sz="5" w:space="0" w:color="000000"/>
            </w:tcBorders>
            <w:tcMar>
              <w:top w:w="0" w:type="dxa"/>
              <w:left w:w="100" w:type="dxa"/>
              <w:bottom w:w="0" w:type="dxa"/>
              <w:right w:w="100" w:type="dxa"/>
            </w:tcMar>
          </w:tcPr>
          <w:p w14:paraId="62514AA3" w14:textId="77777777" w:rsidR="00834E34" w:rsidRDefault="00E0544B">
            <w:pPr>
              <w:widowControl w:val="0"/>
              <w:spacing w:before="80" w:after="40"/>
              <w:jc w:val="center"/>
              <w:rPr>
                <w:i/>
                <w:iCs/>
              </w:rPr>
            </w:pPr>
            <w:r>
              <w:rPr>
                <w:i/>
                <w:iCs/>
                <w:color w:val="0F1115"/>
              </w:rPr>
              <w:t xml:space="preserve">Trabajos de Van </w:t>
            </w:r>
            <w:proofErr w:type="spellStart"/>
            <w:r>
              <w:rPr>
                <w:i/>
                <w:iCs/>
                <w:color w:val="0F1115"/>
              </w:rPr>
              <w:t>Raamsdonk</w:t>
            </w:r>
            <w:proofErr w:type="spellEnd"/>
            <w:r>
              <w:rPr>
                <w:i/>
                <w:iCs/>
                <w:color w:val="0F1115"/>
              </w:rPr>
              <w:t xml:space="preserve">, </w:t>
            </w:r>
            <w:proofErr w:type="spellStart"/>
            <w:r>
              <w:rPr>
                <w:i/>
                <w:iCs/>
                <w:color w:val="0F1115"/>
              </w:rPr>
              <w:t>Swingle</w:t>
            </w:r>
            <w:proofErr w:type="spellEnd"/>
            <w:r>
              <w:rPr>
                <w:i/>
                <w:iCs/>
                <w:color w:val="0F1115"/>
              </w:rPr>
              <w:t xml:space="preserve">, </w:t>
            </w:r>
            <w:proofErr w:type="spellStart"/>
            <w:r>
              <w:rPr>
                <w:i/>
                <w:iCs/>
                <w:color w:val="0F1115"/>
              </w:rPr>
              <w:t>Maldacena</w:t>
            </w:r>
            <w:proofErr w:type="spellEnd"/>
            <w:r>
              <w:rPr>
                <w:i/>
                <w:iCs/>
                <w:color w:val="0F1115"/>
              </w:rPr>
              <w:t xml:space="preserve">, </w:t>
            </w:r>
            <w:proofErr w:type="spellStart"/>
            <w:r>
              <w:rPr>
                <w:i/>
                <w:iCs/>
                <w:color w:val="0F1115"/>
              </w:rPr>
              <w:t>Susskind</w:t>
            </w:r>
            <w:proofErr w:type="spellEnd"/>
          </w:p>
        </w:tc>
        <w:tc>
          <w:tcPr>
            <w:tcW w:w="2010" w:type="dxa"/>
            <w:tcBorders>
              <w:top w:val="nil"/>
              <w:left w:val="nil"/>
              <w:bottom w:val="single" w:sz="10" w:space="0" w:color="000000"/>
              <w:right w:val="single" w:sz="5" w:space="0" w:color="000000"/>
            </w:tcBorders>
            <w:tcMar>
              <w:top w:w="0" w:type="dxa"/>
              <w:left w:w="100" w:type="dxa"/>
              <w:bottom w:w="0" w:type="dxa"/>
              <w:right w:w="100" w:type="dxa"/>
            </w:tcMar>
          </w:tcPr>
          <w:p w14:paraId="63A92B00" w14:textId="77777777" w:rsidR="00834E34" w:rsidRDefault="00E0544B">
            <w:pPr>
              <w:widowControl w:val="0"/>
              <w:spacing w:before="80" w:after="40"/>
              <w:jc w:val="center"/>
              <w:rPr>
                <w:i/>
                <w:iCs/>
              </w:rPr>
            </w:pPr>
            <w:r>
              <w:rPr>
                <w:i/>
                <w:iCs/>
                <w:color w:val="0F1115"/>
              </w:rPr>
              <w:t>Dualidad gravedad/cuántica, desconexión por reducción de entrelazamiento</w:t>
            </w:r>
          </w:p>
        </w:tc>
        <w:tc>
          <w:tcPr>
            <w:tcW w:w="1995" w:type="dxa"/>
            <w:tcBorders>
              <w:top w:val="nil"/>
              <w:left w:val="nil"/>
              <w:bottom w:val="single" w:sz="10" w:space="0" w:color="000000"/>
              <w:right w:val="single" w:sz="8" w:space="0" w:color="000000"/>
            </w:tcBorders>
            <w:tcMar>
              <w:top w:w="0" w:type="dxa"/>
              <w:left w:w="100" w:type="dxa"/>
              <w:bottom w:w="0" w:type="dxa"/>
              <w:right w:w="100" w:type="dxa"/>
            </w:tcMar>
          </w:tcPr>
          <w:p w14:paraId="6BE38C65" w14:textId="77777777" w:rsidR="00834E34" w:rsidRDefault="00E0544B">
            <w:pPr>
              <w:widowControl w:val="0"/>
              <w:spacing w:before="80" w:after="40"/>
              <w:jc w:val="center"/>
              <w:rPr>
                <w:i/>
                <w:iCs/>
              </w:rPr>
            </w:pPr>
            <w:r>
              <w:rPr>
                <w:i/>
                <w:iCs/>
                <w:color w:val="0F1115"/>
              </w:rPr>
              <w:t>Mecanismo Page-</w:t>
            </w:r>
            <w:proofErr w:type="spellStart"/>
            <w:r>
              <w:rPr>
                <w:i/>
                <w:iCs/>
                <w:color w:val="0F1115"/>
              </w:rPr>
              <w:t>Wootters</w:t>
            </w:r>
            <w:proofErr w:type="spellEnd"/>
            <w:r>
              <w:rPr>
                <w:i/>
                <w:iCs/>
                <w:color w:val="0F1115"/>
              </w:rPr>
              <w:t>, equivalencia agujeros de gusano-entrelazamiento</w:t>
            </w:r>
          </w:p>
        </w:tc>
        <w:tc>
          <w:tcPr>
            <w:tcW w:w="1995" w:type="dxa"/>
            <w:tcBorders>
              <w:top w:val="nil"/>
              <w:left w:val="single" w:sz="8" w:space="0" w:color="000000"/>
              <w:bottom w:val="single" w:sz="10" w:space="0" w:color="000000"/>
              <w:right w:val="nil"/>
            </w:tcBorders>
            <w:tcMar>
              <w:top w:w="0" w:type="dxa"/>
              <w:left w:w="100" w:type="dxa"/>
              <w:bottom w:w="0" w:type="dxa"/>
              <w:right w:w="100" w:type="dxa"/>
            </w:tcMar>
          </w:tcPr>
          <w:p w14:paraId="138DE007" w14:textId="77777777" w:rsidR="00834E34" w:rsidRDefault="00E0544B">
            <w:pPr>
              <w:widowControl w:val="0"/>
              <w:spacing w:before="80" w:after="40"/>
              <w:jc w:val="center"/>
              <w:rPr>
                <w:i/>
                <w:iCs/>
              </w:rPr>
            </w:pPr>
            <w:r>
              <w:rPr>
                <w:i/>
                <w:iCs/>
                <w:color w:val="0F1115"/>
              </w:rPr>
              <w:t xml:space="preserve">Experimentos de </w:t>
            </w:r>
            <w:proofErr w:type="spellStart"/>
            <w:r>
              <w:rPr>
                <w:i/>
                <w:iCs/>
                <w:color w:val="0F1115"/>
              </w:rPr>
              <w:t>Schleier</w:t>
            </w:r>
            <w:proofErr w:type="spellEnd"/>
            <w:r>
              <w:rPr>
                <w:i/>
                <w:iCs/>
                <w:color w:val="0F1115"/>
              </w:rPr>
              <w:t xml:space="preserve">-Smith, modelos matemáticos de </w:t>
            </w:r>
            <w:proofErr w:type="spellStart"/>
            <w:r>
              <w:rPr>
                <w:i/>
                <w:iCs/>
                <w:color w:val="0F1115"/>
              </w:rPr>
              <w:t>Coppo</w:t>
            </w:r>
            <w:proofErr w:type="spellEnd"/>
          </w:p>
        </w:tc>
      </w:tr>
      <w:tr w:rsidR="00834E34" w14:paraId="13993508" w14:textId="77777777">
        <w:trPr>
          <w:trHeight w:val="420"/>
        </w:trPr>
        <w:tc>
          <w:tcPr>
            <w:tcW w:w="1440" w:type="dxa"/>
            <w:tcBorders>
              <w:top w:val="nil"/>
              <w:left w:val="nil"/>
              <w:bottom w:val="single" w:sz="10" w:space="0" w:color="000000"/>
              <w:right w:val="single" w:sz="5" w:space="0" w:color="000000"/>
            </w:tcBorders>
            <w:tcMar>
              <w:top w:w="0" w:type="dxa"/>
              <w:left w:w="100" w:type="dxa"/>
              <w:bottom w:w="0" w:type="dxa"/>
              <w:right w:w="100" w:type="dxa"/>
            </w:tcMar>
          </w:tcPr>
          <w:p w14:paraId="320C3498" w14:textId="77777777" w:rsidR="00834E34" w:rsidRDefault="00E0544B">
            <w:pPr>
              <w:widowControl w:val="0"/>
              <w:spacing w:before="80" w:after="40"/>
              <w:jc w:val="center"/>
              <w:rPr>
                <w:i/>
                <w:iCs/>
              </w:rPr>
            </w:pPr>
            <w:r>
              <w:rPr>
                <w:i/>
                <w:iCs/>
              </w:rPr>
              <w:t>Limitaciones</w:t>
            </w:r>
          </w:p>
        </w:tc>
        <w:tc>
          <w:tcPr>
            <w:tcW w:w="1950" w:type="dxa"/>
            <w:tcBorders>
              <w:top w:val="nil"/>
              <w:left w:val="nil"/>
              <w:bottom w:val="single" w:sz="10" w:space="0" w:color="000000"/>
              <w:right w:val="single" w:sz="5" w:space="0" w:color="000000"/>
            </w:tcBorders>
            <w:tcMar>
              <w:top w:w="0" w:type="dxa"/>
              <w:left w:w="100" w:type="dxa"/>
              <w:bottom w:w="0" w:type="dxa"/>
              <w:right w:w="100" w:type="dxa"/>
            </w:tcMar>
          </w:tcPr>
          <w:p w14:paraId="194A746D" w14:textId="77777777" w:rsidR="00834E34" w:rsidRDefault="00E0544B">
            <w:pPr>
              <w:widowControl w:val="0"/>
              <w:spacing w:before="80" w:after="40"/>
              <w:jc w:val="center"/>
              <w:rPr>
                <w:i/>
                <w:iCs/>
                <w:color w:val="0F1115"/>
              </w:rPr>
            </w:pPr>
            <w:r>
              <w:rPr>
                <w:i/>
                <w:iCs/>
                <w:color w:val="0F1115"/>
              </w:rPr>
              <w:t>Falta prueba experimental, es línea activa de investigación</w:t>
            </w:r>
          </w:p>
        </w:tc>
        <w:tc>
          <w:tcPr>
            <w:tcW w:w="2010" w:type="dxa"/>
            <w:tcBorders>
              <w:top w:val="nil"/>
              <w:left w:val="nil"/>
              <w:bottom w:val="single" w:sz="10" w:space="0" w:color="000000"/>
              <w:right w:val="single" w:sz="5" w:space="0" w:color="000000"/>
            </w:tcBorders>
            <w:tcMar>
              <w:top w:w="0" w:type="dxa"/>
              <w:left w:w="100" w:type="dxa"/>
              <w:bottom w:w="0" w:type="dxa"/>
              <w:right w:w="100" w:type="dxa"/>
            </w:tcMar>
          </w:tcPr>
          <w:p w14:paraId="58613ED5" w14:textId="77777777" w:rsidR="00834E34" w:rsidRDefault="00E0544B">
            <w:pPr>
              <w:widowControl w:val="0"/>
              <w:spacing w:before="80" w:after="40"/>
              <w:jc w:val="center"/>
              <w:rPr>
                <w:i/>
                <w:iCs/>
                <w:color w:val="0F1115"/>
              </w:rPr>
            </w:pPr>
            <w:r>
              <w:rPr>
                <w:i/>
                <w:iCs/>
                <w:color w:val="0F1115"/>
              </w:rPr>
              <w:t xml:space="preserve">Problema de </w:t>
            </w:r>
            <w:proofErr w:type="spellStart"/>
            <w:r>
              <w:rPr>
                <w:i/>
                <w:iCs/>
                <w:color w:val="0F1115"/>
              </w:rPr>
              <w:t>Sitter</w:t>
            </w:r>
            <w:proofErr w:type="spellEnd"/>
            <w:r>
              <w:rPr>
                <w:i/>
                <w:iCs/>
                <w:color w:val="0F1115"/>
              </w:rPr>
              <w:t>, difícil comprobación experimental</w:t>
            </w:r>
          </w:p>
        </w:tc>
        <w:tc>
          <w:tcPr>
            <w:tcW w:w="1995" w:type="dxa"/>
            <w:tcBorders>
              <w:top w:val="nil"/>
              <w:left w:val="nil"/>
              <w:bottom w:val="single" w:sz="10" w:space="0" w:color="000000"/>
              <w:right w:val="single" w:sz="8" w:space="0" w:color="000000"/>
            </w:tcBorders>
            <w:tcMar>
              <w:top w:w="0" w:type="dxa"/>
              <w:left w:w="100" w:type="dxa"/>
              <w:bottom w:w="0" w:type="dxa"/>
              <w:right w:w="100" w:type="dxa"/>
            </w:tcMar>
          </w:tcPr>
          <w:p w14:paraId="25B444ED" w14:textId="77777777" w:rsidR="00834E34" w:rsidRDefault="00E0544B">
            <w:pPr>
              <w:widowControl w:val="0"/>
              <w:spacing w:before="80" w:after="40"/>
              <w:jc w:val="center"/>
              <w:rPr>
                <w:i/>
                <w:iCs/>
                <w:color w:val="0F1115"/>
              </w:rPr>
            </w:pPr>
            <w:r>
              <w:rPr>
                <w:i/>
                <w:iCs/>
                <w:color w:val="0F1115"/>
              </w:rPr>
              <w:t>No resuelve completamente la unificación gravedad-cuántica</w:t>
            </w:r>
          </w:p>
        </w:tc>
        <w:tc>
          <w:tcPr>
            <w:tcW w:w="1995" w:type="dxa"/>
            <w:tcBorders>
              <w:top w:val="nil"/>
              <w:left w:val="single" w:sz="8" w:space="0" w:color="000000"/>
              <w:bottom w:val="single" w:sz="10" w:space="0" w:color="000000"/>
              <w:right w:val="nil"/>
            </w:tcBorders>
            <w:tcMar>
              <w:top w:w="0" w:type="dxa"/>
              <w:left w:w="100" w:type="dxa"/>
              <w:bottom w:w="0" w:type="dxa"/>
              <w:right w:w="100" w:type="dxa"/>
            </w:tcMar>
          </w:tcPr>
          <w:p w14:paraId="0FC4FFE2" w14:textId="77777777" w:rsidR="00834E34" w:rsidRDefault="00E0544B">
            <w:pPr>
              <w:widowControl w:val="0"/>
              <w:spacing w:before="80" w:after="40"/>
              <w:jc w:val="center"/>
              <w:rPr>
                <w:i/>
                <w:iCs/>
                <w:color w:val="0F1115"/>
              </w:rPr>
            </w:pPr>
            <w:r>
              <w:rPr>
                <w:i/>
                <w:iCs/>
                <w:color w:val="0F1115"/>
              </w:rPr>
              <w:t>No es consenso científico, teoría incompleta</w:t>
            </w:r>
          </w:p>
        </w:tc>
      </w:tr>
      <w:tr w:rsidR="00834E34" w14:paraId="372E3BD4" w14:textId="77777777">
        <w:trPr>
          <w:trHeight w:val="420"/>
        </w:trPr>
        <w:tc>
          <w:tcPr>
            <w:tcW w:w="1440" w:type="dxa"/>
            <w:tcBorders>
              <w:top w:val="nil"/>
              <w:left w:val="nil"/>
              <w:bottom w:val="single" w:sz="10" w:space="0" w:color="000000"/>
              <w:right w:val="single" w:sz="5" w:space="0" w:color="000000"/>
            </w:tcBorders>
            <w:tcMar>
              <w:top w:w="0" w:type="dxa"/>
              <w:left w:w="100" w:type="dxa"/>
              <w:bottom w:w="0" w:type="dxa"/>
              <w:right w:w="100" w:type="dxa"/>
            </w:tcMar>
          </w:tcPr>
          <w:p w14:paraId="779422A9" w14:textId="77777777" w:rsidR="00834E34" w:rsidRDefault="00E0544B">
            <w:pPr>
              <w:widowControl w:val="0"/>
              <w:spacing w:before="80" w:after="40"/>
              <w:jc w:val="center"/>
              <w:rPr>
                <w:i/>
                <w:iCs/>
              </w:rPr>
            </w:pPr>
            <w:r>
              <w:rPr>
                <w:i/>
                <w:iCs/>
              </w:rPr>
              <w:t>Implicaciones</w:t>
            </w:r>
          </w:p>
        </w:tc>
        <w:tc>
          <w:tcPr>
            <w:tcW w:w="1950" w:type="dxa"/>
            <w:tcBorders>
              <w:top w:val="nil"/>
              <w:left w:val="nil"/>
              <w:bottom w:val="single" w:sz="10" w:space="0" w:color="000000"/>
              <w:right w:val="single" w:sz="5" w:space="0" w:color="000000"/>
            </w:tcBorders>
            <w:tcMar>
              <w:top w:w="0" w:type="dxa"/>
              <w:left w:w="100" w:type="dxa"/>
              <w:bottom w:w="0" w:type="dxa"/>
              <w:right w:w="100" w:type="dxa"/>
            </w:tcMar>
          </w:tcPr>
          <w:p w14:paraId="0902946D" w14:textId="77777777" w:rsidR="00834E34" w:rsidRDefault="00E0544B">
            <w:pPr>
              <w:widowControl w:val="0"/>
              <w:spacing w:before="80" w:after="40"/>
              <w:jc w:val="center"/>
              <w:rPr>
                <w:i/>
                <w:iCs/>
                <w:color w:val="0F1115"/>
              </w:rPr>
            </w:pPr>
            <w:r>
              <w:rPr>
                <w:i/>
                <w:iCs/>
                <w:color w:val="0F1115"/>
              </w:rPr>
              <w:t xml:space="preserve">Big </w:t>
            </w:r>
            <w:proofErr w:type="spellStart"/>
            <w:r>
              <w:rPr>
                <w:i/>
                <w:iCs/>
                <w:color w:val="0F1115"/>
              </w:rPr>
              <w:t>Bang</w:t>
            </w:r>
            <w:proofErr w:type="spellEnd"/>
            <w:r>
              <w:rPr>
                <w:i/>
                <w:iCs/>
                <w:color w:val="0F1115"/>
              </w:rPr>
              <w:t xml:space="preserve"> como origen de red de </w:t>
            </w:r>
            <w:proofErr w:type="spellStart"/>
            <w:r>
              <w:rPr>
                <w:i/>
                <w:iCs/>
                <w:color w:val="0F1115"/>
              </w:rPr>
              <w:t>entanglement</w:t>
            </w:r>
            <w:proofErr w:type="spellEnd"/>
            <w:r>
              <w:rPr>
                <w:i/>
                <w:iCs/>
                <w:color w:val="0F1115"/>
              </w:rPr>
              <w:t>, gravedad emergente</w:t>
            </w:r>
          </w:p>
        </w:tc>
        <w:tc>
          <w:tcPr>
            <w:tcW w:w="2010" w:type="dxa"/>
            <w:tcBorders>
              <w:top w:val="nil"/>
              <w:left w:val="nil"/>
              <w:bottom w:val="single" w:sz="10" w:space="0" w:color="000000"/>
              <w:right w:val="single" w:sz="5" w:space="0" w:color="000000"/>
            </w:tcBorders>
            <w:tcMar>
              <w:top w:w="0" w:type="dxa"/>
              <w:left w:w="100" w:type="dxa"/>
              <w:bottom w:w="0" w:type="dxa"/>
              <w:right w:w="100" w:type="dxa"/>
            </w:tcMar>
          </w:tcPr>
          <w:p w14:paraId="4304C3C8" w14:textId="77777777" w:rsidR="00834E34" w:rsidRDefault="00E0544B">
            <w:pPr>
              <w:widowControl w:val="0"/>
              <w:spacing w:before="80" w:after="40"/>
              <w:jc w:val="center"/>
              <w:rPr>
                <w:i/>
                <w:iCs/>
                <w:color w:val="0F1115"/>
              </w:rPr>
            </w:pPr>
            <w:r>
              <w:rPr>
                <w:i/>
                <w:iCs/>
                <w:color w:val="0F1115"/>
              </w:rPr>
              <w:t>Realidad como información cuántica, espacio-tiempo como sombra</w:t>
            </w:r>
          </w:p>
        </w:tc>
        <w:tc>
          <w:tcPr>
            <w:tcW w:w="1995" w:type="dxa"/>
            <w:tcBorders>
              <w:top w:val="nil"/>
              <w:left w:val="nil"/>
              <w:bottom w:val="single" w:sz="10" w:space="0" w:color="000000"/>
              <w:right w:val="single" w:sz="8" w:space="0" w:color="000000"/>
            </w:tcBorders>
            <w:tcMar>
              <w:top w:w="0" w:type="dxa"/>
              <w:left w:w="100" w:type="dxa"/>
              <w:bottom w:w="0" w:type="dxa"/>
              <w:right w:w="100" w:type="dxa"/>
            </w:tcMar>
          </w:tcPr>
          <w:p w14:paraId="28D7B39D" w14:textId="77777777" w:rsidR="00834E34" w:rsidRDefault="00E0544B">
            <w:pPr>
              <w:widowControl w:val="0"/>
              <w:spacing w:before="80" w:after="40"/>
              <w:jc w:val="center"/>
              <w:rPr>
                <w:i/>
                <w:iCs/>
                <w:color w:val="0F1115"/>
              </w:rPr>
            </w:pPr>
            <w:r>
              <w:rPr>
                <w:i/>
                <w:iCs/>
                <w:color w:val="0F1115"/>
              </w:rPr>
              <w:t>Tiempo emerge de subsistemas entrelazados, gravedad no fundamental</w:t>
            </w:r>
          </w:p>
        </w:tc>
        <w:tc>
          <w:tcPr>
            <w:tcW w:w="1995" w:type="dxa"/>
            <w:tcBorders>
              <w:top w:val="nil"/>
              <w:left w:val="single" w:sz="8" w:space="0" w:color="000000"/>
              <w:bottom w:val="single" w:sz="10" w:space="0" w:color="000000"/>
              <w:right w:val="nil"/>
            </w:tcBorders>
            <w:tcMar>
              <w:top w:w="0" w:type="dxa"/>
              <w:left w:w="100" w:type="dxa"/>
              <w:bottom w:w="0" w:type="dxa"/>
              <w:right w:w="100" w:type="dxa"/>
            </w:tcMar>
          </w:tcPr>
          <w:p w14:paraId="76124D59" w14:textId="77777777" w:rsidR="00834E34" w:rsidRDefault="00E0544B">
            <w:pPr>
              <w:widowControl w:val="0"/>
              <w:spacing w:before="80" w:after="40"/>
              <w:jc w:val="center"/>
              <w:rPr>
                <w:i/>
                <w:iCs/>
                <w:color w:val="0F1115"/>
              </w:rPr>
            </w:pPr>
            <w:r>
              <w:rPr>
                <w:i/>
                <w:iCs/>
                <w:color w:val="0F1115"/>
              </w:rPr>
              <w:t>Naturaleza relacional de realidad, unificación prometedora</w:t>
            </w:r>
          </w:p>
        </w:tc>
      </w:tr>
    </w:tbl>
    <w:p w14:paraId="03BA0E75" w14:textId="77777777" w:rsidR="00834E34" w:rsidRDefault="00834E34">
      <w:pPr>
        <w:widowControl w:val="0"/>
        <w:spacing w:after="240"/>
        <w:ind w:right="35"/>
        <w:jc w:val="center"/>
        <w:rPr>
          <w:color w:val="0F1115"/>
          <w:highlight w:val="white"/>
        </w:rPr>
      </w:pPr>
    </w:p>
    <w:p w14:paraId="13C95B33" w14:textId="77777777" w:rsidR="00834E34" w:rsidRDefault="00E0544B">
      <w:pPr>
        <w:pStyle w:val="Ttulo2"/>
        <w:widowControl w:val="0"/>
        <w:numPr>
          <w:ilvl w:val="1"/>
          <w:numId w:val="1"/>
        </w:numPr>
        <w:spacing w:before="120" w:after="120"/>
        <w:ind w:right="35"/>
      </w:pPr>
      <w:bookmarkStart w:id="27" w:name="_g59o5ej5mi0n" w:colFirst="0" w:colLast="0"/>
      <w:bookmarkEnd w:id="27"/>
      <w:r>
        <w:t>Capacidad de la IA para resolver los problemas matemáticos complejos</w:t>
      </w:r>
    </w:p>
    <w:p w14:paraId="2EBC6BF3" w14:textId="77777777" w:rsidR="00834E34" w:rsidRDefault="00E0544B">
      <w:pPr>
        <w:widowControl w:val="0"/>
        <w:ind w:right="35"/>
        <w:rPr>
          <w:color w:val="0F1115"/>
        </w:rPr>
      </w:pPr>
      <w:r>
        <w:rPr>
          <w:color w:val="0F1115"/>
        </w:rPr>
        <w:t>La evaluación de perspectivas sobre resolución de Problemas del Milenio revela diferentes supuestos sobre capacidades de razonamiento abstracto en IA.</w:t>
      </w:r>
    </w:p>
    <w:p w14:paraId="0D861A81" w14:textId="77777777" w:rsidR="00834E34" w:rsidRDefault="00E0544B">
      <w:pPr>
        <w:pStyle w:val="Ttulo3"/>
        <w:widowControl w:val="0"/>
        <w:numPr>
          <w:ilvl w:val="2"/>
          <w:numId w:val="1"/>
        </w:numPr>
        <w:spacing w:before="120" w:after="120"/>
        <w:ind w:right="35"/>
      </w:pPr>
      <w:bookmarkStart w:id="28" w:name="_1eoq7kga8o0i" w:colFirst="0" w:colLast="0"/>
      <w:bookmarkEnd w:id="28"/>
      <w:r>
        <w:t>Consenso emergente</w:t>
      </w:r>
    </w:p>
    <w:p w14:paraId="6CB37671" w14:textId="77777777" w:rsidR="00834E34" w:rsidRDefault="00E0544B">
      <w:pPr>
        <w:widowControl w:val="0"/>
        <w:ind w:right="35"/>
        <w:rPr>
          <w:color w:val="0F1115"/>
        </w:rPr>
      </w:pPr>
      <w:r>
        <w:rPr>
          <w:color w:val="0F1115"/>
        </w:rPr>
        <w:t xml:space="preserve">Todas las </w:t>
      </w:r>
      <w:proofErr w:type="spellStart"/>
      <w:r>
        <w:rPr>
          <w:color w:val="0F1115"/>
        </w:rPr>
        <w:t>IAs</w:t>
      </w:r>
      <w:proofErr w:type="spellEnd"/>
      <w:r>
        <w:rPr>
          <w:color w:val="0F1115"/>
        </w:rPr>
        <w:t xml:space="preserve"> reconocen que estos problemas trascienden la capacidad computacional, requiriendo perspectivas matemáticas innovadoras y colaboración humano-IA.</w:t>
      </w:r>
    </w:p>
    <w:p w14:paraId="3BD3B401" w14:textId="4F42B58C" w:rsidR="00834E34" w:rsidRDefault="00E0544B">
      <w:pPr>
        <w:pStyle w:val="Ttulo3"/>
        <w:widowControl w:val="0"/>
        <w:spacing w:before="120" w:after="120"/>
        <w:ind w:right="35" w:firstLine="720"/>
        <w:jc w:val="center"/>
      </w:pPr>
      <w:bookmarkStart w:id="29" w:name="_714nwo9m18ks" w:colFirst="0" w:colLast="0"/>
      <w:bookmarkEnd w:id="29"/>
      <w:r>
        <w:rPr>
          <w:sz w:val="20"/>
          <w:szCs w:val="20"/>
        </w:rPr>
        <w:t xml:space="preserve">Tabla 5. </w:t>
      </w:r>
      <w:r>
        <w:rPr>
          <w:color w:val="0F1115"/>
          <w:sz w:val="20"/>
          <w:szCs w:val="20"/>
        </w:rPr>
        <w:t>El Potencial de la IA en los Problemas del Milenio</w:t>
      </w:r>
      <w:r w:rsidR="00C84D19">
        <w:rPr>
          <w:color w:val="0F1115"/>
          <w:sz w:val="20"/>
          <w:szCs w:val="20"/>
        </w:rPr>
        <w:t>.</w:t>
      </w:r>
    </w:p>
    <w:tbl>
      <w:tblPr>
        <w:tblStyle w:val="a3"/>
        <w:tblW w:w="9404"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378"/>
        <w:gridCol w:w="2013"/>
        <w:gridCol w:w="2013"/>
        <w:gridCol w:w="2000"/>
        <w:gridCol w:w="2000"/>
      </w:tblGrid>
      <w:tr w:rsidR="00834E34" w14:paraId="01CDDF40" w14:textId="77777777">
        <w:trPr>
          <w:trHeight w:val="420"/>
        </w:trPr>
        <w:tc>
          <w:tcPr>
            <w:tcW w:w="1378"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43AD5405" w14:textId="77777777" w:rsidR="00834E34" w:rsidRDefault="00E0544B">
            <w:pPr>
              <w:widowControl w:val="0"/>
              <w:spacing w:before="80" w:after="40"/>
              <w:jc w:val="center"/>
              <w:rPr>
                <w:i/>
                <w:iCs/>
              </w:rPr>
            </w:pPr>
            <w:r>
              <w:rPr>
                <w:i/>
                <w:iCs/>
              </w:rPr>
              <w:t xml:space="preserve"> Criterio</w:t>
            </w:r>
          </w:p>
        </w:tc>
        <w:tc>
          <w:tcPr>
            <w:tcW w:w="2013"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6B7D0C7F" w14:textId="77777777" w:rsidR="00834E34" w:rsidRDefault="00E0544B">
            <w:pPr>
              <w:widowControl w:val="0"/>
              <w:spacing w:before="80" w:after="40"/>
              <w:jc w:val="center"/>
              <w:rPr>
                <w:i/>
                <w:iCs/>
              </w:rPr>
            </w:pPr>
            <w:r>
              <w:rPr>
                <w:i/>
                <w:iCs/>
              </w:rPr>
              <w:t>ChatGPT</w:t>
            </w:r>
          </w:p>
        </w:tc>
        <w:tc>
          <w:tcPr>
            <w:tcW w:w="2013" w:type="dxa"/>
            <w:tcBorders>
              <w:top w:val="single" w:sz="10" w:space="0" w:color="000000"/>
              <w:left w:val="nil"/>
              <w:bottom w:val="single" w:sz="5" w:space="0" w:color="000000"/>
              <w:right w:val="single" w:sz="5" w:space="0" w:color="000000"/>
            </w:tcBorders>
            <w:tcMar>
              <w:top w:w="0" w:type="dxa"/>
              <w:left w:w="100" w:type="dxa"/>
              <w:bottom w:w="0" w:type="dxa"/>
              <w:right w:w="100" w:type="dxa"/>
            </w:tcMar>
          </w:tcPr>
          <w:p w14:paraId="37554552" w14:textId="77777777" w:rsidR="00834E34" w:rsidRDefault="00E0544B">
            <w:pPr>
              <w:widowControl w:val="0"/>
              <w:spacing w:before="80" w:after="40"/>
              <w:jc w:val="center"/>
              <w:rPr>
                <w:i/>
                <w:iCs/>
              </w:rPr>
            </w:pPr>
            <w:r>
              <w:rPr>
                <w:i/>
                <w:iCs/>
              </w:rPr>
              <w:t>DeepSeek</w:t>
            </w:r>
          </w:p>
        </w:tc>
        <w:tc>
          <w:tcPr>
            <w:tcW w:w="2000" w:type="dxa"/>
            <w:tcBorders>
              <w:top w:val="single" w:sz="10" w:space="0" w:color="000000"/>
              <w:left w:val="nil"/>
              <w:bottom w:val="single" w:sz="5" w:space="0" w:color="000000"/>
              <w:right w:val="single" w:sz="8" w:space="0" w:color="000000"/>
            </w:tcBorders>
            <w:tcMar>
              <w:top w:w="0" w:type="dxa"/>
              <w:left w:w="100" w:type="dxa"/>
              <w:bottom w:w="0" w:type="dxa"/>
              <w:right w:w="100" w:type="dxa"/>
            </w:tcMar>
          </w:tcPr>
          <w:p w14:paraId="5D5124E4" w14:textId="77777777" w:rsidR="00834E34" w:rsidRDefault="00E0544B">
            <w:pPr>
              <w:widowControl w:val="0"/>
              <w:spacing w:before="80" w:after="40"/>
              <w:jc w:val="center"/>
              <w:rPr>
                <w:i/>
                <w:iCs/>
              </w:rPr>
            </w:pPr>
            <w:r>
              <w:rPr>
                <w:i/>
                <w:iCs/>
              </w:rPr>
              <w:t>Gemini</w:t>
            </w:r>
          </w:p>
        </w:tc>
        <w:tc>
          <w:tcPr>
            <w:tcW w:w="2000" w:type="dxa"/>
            <w:tcBorders>
              <w:top w:val="single" w:sz="10" w:space="0" w:color="000000"/>
              <w:left w:val="single" w:sz="8" w:space="0" w:color="000000"/>
              <w:bottom w:val="single" w:sz="5" w:space="0" w:color="000000"/>
              <w:right w:val="nil"/>
            </w:tcBorders>
            <w:tcMar>
              <w:top w:w="0" w:type="dxa"/>
              <w:left w:w="100" w:type="dxa"/>
              <w:bottom w:w="0" w:type="dxa"/>
              <w:right w:w="100" w:type="dxa"/>
            </w:tcMar>
          </w:tcPr>
          <w:p w14:paraId="0D013152" w14:textId="77777777" w:rsidR="00834E34" w:rsidRDefault="00E0544B">
            <w:pPr>
              <w:widowControl w:val="0"/>
              <w:spacing w:before="80" w:after="40"/>
              <w:jc w:val="center"/>
              <w:rPr>
                <w:i/>
                <w:iCs/>
              </w:rPr>
            </w:pPr>
            <w:r>
              <w:rPr>
                <w:i/>
                <w:iCs/>
              </w:rPr>
              <w:t>Kimi</w:t>
            </w:r>
          </w:p>
        </w:tc>
      </w:tr>
      <w:tr w:rsidR="00834E34" w14:paraId="65CD6275" w14:textId="77777777">
        <w:trPr>
          <w:trHeight w:val="405"/>
        </w:trPr>
        <w:tc>
          <w:tcPr>
            <w:tcW w:w="1378" w:type="dxa"/>
            <w:tcBorders>
              <w:top w:val="nil"/>
              <w:left w:val="nil"/>
              <w:bottom w:val="single" w:sz="5" w:space="0" w:color="000000"/>
              <w:right w:val="single" w:sz="5" w:space="0" w:color="000000"/>
            </w:tcBorders>
            <w:tcMar>
              <w:top w:w="0" w:type="dxa"/>
              <w:left w:w="100" w:type="dxa"/>
              <w:bottom w:w="0" w:type="dxa"/>
              <w:right w:w="100" w:type="dxa"/>
            </w:tcMar>
          </w:tcPr>
          <w:p w14:paraId="51FA402A" w14:textId="77777777" w:rsidR="00834E34" w:rsidRDefault="00E0544B">
            <w:pPr>
              <w:widowControl w:val="0"/>
              <w:spacing w:before="80" w:after="40"/>
              <w:jc w:val="center"/>
              <w:rPr>
                <w:i/>
                <w:iCs/>
              </w:rPr>
            </w:pPr>
            <w:r>
              <w:rPr>
                <w:i/>
                <w:iCs/>
              </w:rPr>
              <w:t>Escala Likert</w:t>
            </w:r>
          </w:p>
        </w:tc>
        <w:tc>
          <w:tcPr>
            <w:tcW w:w="2013" w:type="dxa"/>
            <w:tcBorders>
              <w:top w:val="nil"/>
              <w:left w:val="nil"/>
              <w:bottom w:val="single" w:sz="5" w:space="0" w:color="000000"/>
              <w:right w:val="single" w:sz="5" w:space="0" w:color="000000"/>
            </w:tcBorders>
            <w:tcMar>
              <w:top w:w="0" w:type="dxa"/>
              <w:left w:w="100" w:type="dxa"/>
              <w:bottom w:w="0" w:type="dxa"/>
              <w:right w:w="100" w:type="dxa"/>
            </w:tcMar>
          </w:tcPr>
          <w:p w14:paraId="087C61A8" w14:textId="77777777" w:rsidR="00834E34" w:rsidRDefault="00E0544B">
            <w:pPr>
              <w:widowControl w:val="0"/>
              <w:spacing w:before="80" w:after="40"/>
              <w:jc w:val="center"/>
              <w:rPr>
                <w:i/>
                <w:iCs/>
              </w:rPr>
            </w:pPr>
            <w:r>
              <w:rPr>
                <w:i/>
                <w:iCs/>
              </w:rPr>
              <w:t>3 neutral</w:t>
            </w:r>
          </w:p>
        </w:tc>
        <w:tc>
          <w:tcPr>
            <w:tcW w:w="2013" w:type="dxa"/>
            <w:tcBorders>
              <w:top w:val="nil"/>
              <w:left w:val="nil"/>
              <w:bottom w:val="single" w:sz="5" w:space="0" w:color="000000"/>
              <w:right w:val="single" w:sz="5" w:space="0" w:color="000000"/>
            </w:tcBorders>
            <w:tcMar>
              <w:top w:w="0" w:type="dxa"/>
              <w:left w:w="100" w:type="dxa"/>
              <w:bottom w:w="0" w:type="dxa"/>
              <w:right w:w="100" w:type="dxa"/>
            </w:tcMar>
          </w:tcPr>
          <w:p w14:paraId="26BB1EB5" w14:textId="77777777" w:rsidR="00834E34" w:rsidRDefault="00E0544B">
            <w:pPr>
              <w:widowControl w:val="0"/>
              <w:spacing w:before="80" w:after="40"/>
              <w:jc w:val="center"/>
              <w:rPr>
                <w:i/>
                <w:iCs/>
              </w:rPr>
            </w:pPr>
            <w:r>
              <w:rPr>
                <w:i/>
                <w:iCs/>
              </w:rPr>
              <w:t>2 en desacuerdo</w:t>
            </w:r>
          </w:p>
        </w:tc>
        <w:tc>
          <w:tcPr>
            <w:tcW w:w="2000" w:type="dxa"/>
            <w:tcBorders>
              <w:top w:val="nil"/>
              <w:left w:val="nil"/>
              <w:bottom w:val="single" w:sz="5" w:space="0" w:color="000000"/>
              <w:right w:val="single" w:sz="8" w:space="0" w:color="000000"/>
            </w:tcBorders>
            <w:tcMar>
              <w:top w:w="0" w:type="dxa"/>
              <w:left w:w="100" w:type="dxa"/>
              <w:bottom w:w="0" w:type="dxa"/>
              <w:right w:w="100" w:type="dxa"/>
            </w:tcMar>
          </w:tcPr>
          <w:p w14:paraId="7395D3D4" w14:textId="77777777" w:rsidR="00834E34" w:rsidRDefault="00E0544B">
            <w:pPr>
              <w:widowControl w:val="0"/>
              <w:spacing w:before="80" w:after="40"/>
              <w:jc w:val="center"/>
              <w:rPr>
                <w:i/>
                <w:iCs/>
              </w:rPr>
            </w:pPr>
            <w:r>
              <w:rPr>
                <w:i/>
                <w:iCs/>
              </w:rPr>
              <w:t>3 neutral</w:t>
            </w:r>
          </w:p>
        </w:tc>
        <w:tc>
          <w:tcPr>
            <w:tcW w:w="2000" w:type="dxa"/>
            <w:tcBorders>
              <w:top w:val="nil"/>
              <w:left w:val="single" w:sz="8" w:space="0" w:color="000000"/>
              <w:bottom w:val="single" w:sz="5" w:space="0" w:color="000000"/>
              <w:right w:val="nil"/>
            </w:tcBorders>
            <w:tcMar>
              <w:top w:w="0" w:type="dxa"/>
              <w:left w:w="100" w:type="dxa"/>
              <w:bottom w:w="0" w:type="dxa"/>
              <w:right w:w="100" w:type="dxa"/>
            </w:tcMar>
          </w:tcPr>
          <w:p w14:paraId="55EC5032" w14:textId="77777777" w:rsidR="00834E34" w:rsidRDefault="00E0544B">
            <w:pPr>
              <w:widowControl w:val="0"/>
              <w:spacing w:before="80" w:after="40"/>
              <w:jc w:val="center"/>
              <w:rPr>
                <w:i/>
                <w:iCs/>
              </w:rPr>
            </w:pPr>
            <w:r>
              <w:rPr>
                <w:i/>
                <w:iCs/>
              </w:rPr>
              <w:t>4 de acuerdo</w:t>
            </w:r>
          </w:p>
        </w:tc>
      </w:tr>
      <w:tr w:rsidR="00834E34" w14:paraId="41E874EA"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1347099C" w14:textId="77777777" w:rsidR="00834E34" w:rsidRDefault="00E0544B">
            <w:pPr>
              <w:widowControl w:val="0"/>
              <w:spacing w:before="80" w:after="40"/>
              <w:jc w:val="center"/>
              <w:rPr>
                <w:i/>
                <w:iCs/>
              </w:rPr>
            </w:pPr>
            <w:r>
              <w:rPr>
                <w:i/>
                <w:iCs/>
              </w:rPr>
              <w:t>Fortalezas</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274856C0" w14:textId="77777777" w:rsidR="00834E34" w:rsidRDefault="00E0544B">
            <w:pPr>
              <w:widowControl w:val="0"/>
              <w:spacing w:before="80" w:after="40"/>
              <w:jc w:val="center"/>
              <w:rPr>
                <w:i/>
                <w:iCs/>
              </w:rPr>
            </w:pPr>
            <w:r>
              <w:rPr>
                <w:i/>
                <w:iCs/>
              </w:rPr>
              <w:t>Razonamiento simbólico</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1D34DC9E" w14:textId="77777777" w:rsidR="00834E34" w:rsidRDefault="00E0544B">
            <w:pPr>
              <w:widowControl w:val="0"/>
              <w:spacing w:before="80" w:after="40"/>
              <w:jc w:val="center"/>
              <w:rPr>
                <w:i/>
                <w:iCs/>
              </w:rPr>
            </w:pPr>
            <w:r>
              <w:rPr>
                <w:i/>
                <w:iCs/>
              </w:rPr>
              <w:t>Verificación y exploración de soluciones</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10005D36" w14:textId="77777777" w:rsidR="00834E34" w:rsidRDefault="00E0544B">
            <w:pPr>
              <w:widowControl w:val="0"/>
              <w:spacing w:before="80" w:after="40"/>
              <w:jc w:val="center"/>
              <w:rPr>
                <w:i/>
                <w:iCs/>
              </w:rPr>
            </w:pPr>
            <w:r>
              <w:rPr>
                <w:i/>
                <w:iCs/>
              </w:rPr>
              <w:t xml:space="preserve">Manejo de datos y Estrategia </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7904A2DA" w14:textId="77777777" w:rsidR="00834E34" w:rsidRDefault="00E0544B">
            <w:pPr>
              <w:widowControl w:val="0"/>
              <w:spacing w:before="80" w:after="40"/>
              <w:jc w:val="center"/>
              <w:rPr>
                <w:i/>
                <w:iCs/>
              </w:rPr>
            </w:pPr>
            <w:r>
              <w:rPr>
                <w:i/>
                <w:iCs/>
              </w:rPr>
              <w:t>Cálculos y patrones, conjeturas y verificaciones</w:t>
            </w:r>
          </w:p>
        </w:tc>
      </w:tr>
      <w:tr w:rsidR="00834E34" w14:paraId="22334C52"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0DDA0842" w14:textId="77777777" w:rsidR="00834E34" w:rsidRDefault="00E0544B">
            <w:pPr>
              <w:widowControl w:val="0"/>
              <w:spacing w:before="80" w:after="40"/>
              <w:jc w:val="center"/>
              <w:rPr>
                <w:i/>
                <w:iCs/>
              </w:rPr>
            </w:pPr>
            <w:r>
              <w:rPr>
                <w:i/>
                <w:iCs/>
              </w:rPr>
              <w:t>Limitaciones</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007B77E4" w14:textId="77777777" w:rsidR="00834E34" w:rsidRDefault="00E0544B">
            <w:pPr>
              <w:widowControl w:val="0"/>
              <w:spacing w:before="80" w:after="40"/>
              <w:jc w:val="center"/>
              <w:rPr>
                <w:i/>
                <w:iCs/>
              </w:rPr>
            </w:pPr>
            <w:r>
              <w:rPr>
                <w:i/>
                <w:iCs/>
              </w:rPr>
              <w:t>Complejidad y necesidad de guía humana</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1BB303E0" w14:textId="77777777" w:rsidR="00834E34" w:rsidRDefault="00E0544B">
            <w:pPr>
              <w:widowControl w:val="0"/>
              <w:spacing w:before="80" w:after="40"/>
              <w:jc w:val="center"/>
              <w:rPr>
                <w:i/>
                <w:iCs/>
              </w:rPr>
            </w:pPr>
            <w:r>
              <w:rPr>
                <w:i/>
                <w:iCs/>
              </w:rPr>
              <w:t>falta de compresión semántica y creativa</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3DA87BFF" w14:textId="77777777" w:rsidR="00834E34" w:rsidRDefault="00E0544B">
            <w:pPr>
              <w:widowControl w:val="0"/>
              <w:spacing w:before="80" w:after="40"/>
              <w:jc w:val="center"/>
              <w:rPr>
                <w:i/>
                <w:iCs/>
              </w:rPr>
            </w:pPr>
            <w:r>
              <w:rPr>
                <w:i/>
                <w:iCs/>
              </w:rPr>
              <w:t>Requiere nuevos marcos conceptuales</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03A9BFE4" w14:textId="77777777" w:rsidR="00834E34" w:rsidRDefault="00E0544B">
            <w:pPr>
              <w:widowControl w:val="0"/>
              <w:spacing w:before="80" w:after="40"/>
              <w:jc w:val="center"/>
              <w:rPr>
                <w:i/>
                <w:iCs/>
              </w:rPr>
            </w:pPr>
            <w:r>
              <w:rPr>
                <w:i/>
                <w:iCs/>
              </w:rPr>
              <w:t>Falta de creatividad humana</w:t>
            </w:r>
          </w:p>
        </w:tc>
      </w:tr>
      <w:tr w:rsidR="00834E34" w14:paraId="6A59DF4F" w14:textId="77777777">
        <w:trPr>
          <w:trHeight w:val="420"/>
        </w:trPr>
        <w:tc>
          <w:tcPr>
            <w:tcW w:w="1378" w:type="dxa"/>
            <w:tcBorders>
              <w:top w:val="nil"/>
              <w:left w:val="nil"/>
              <w:bottom w:val="single" w:sz="10" w:space="0" w:color="000000"/>
              <w:right w:val="single" w:sz="5" w:space="0" w:color="000000"/>
            </w:tcBorders>
            <w:tcMar>
              <w:top w:w="0" w:type="dxa"/>
              <w:left w:w="100" w:type="dxa"/>
              <w:bottom w:w="0" w:type="dxa"/>
              <w:right w:w="100" w:type="dxa"/>
            </w:tcMar>
          </w:tcPr>
          <w:p w14:paraId="2503AC00" w14:textId="77777777" w:rsidR="00834E34" w:rsidRDefault="00E0544B">
            <w:pPr>
              <w:widowControl w:val="0"/>
              <w:spacing w:before="80" w:after="40"/>
              <w:jc w:val="center"/>
              <w:rPr>
                <w:i/>
                <w:iCs/>
              </w:rPr>
            </w:pPr>
            <w:r>
              <w:rPr>
                <w:i/>
                <w:iCs/>
              </w:rPr>
              <w:t>Perspectiva temporal</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18EA370C" w14:textId="77777777" w:rsidR="00834E34" w:rsidRDefault="00E0544B">
            <w:pPr>
              <w:widowControl w:val="0"/>
              <w:spacing w:before="80" w:after="40"/>
              <w:jc w:val="center"/>
              <w:rPr>
                <w:i/>
                <w:iCs/>
              </w:rPr>
            </w:pPr>
            <w:r>
              <w:rPr>
                <w:i/>
                <w:iCs/>
              </w:rPr>
              <w:t>Futuro promisorio con desarrollo</w:t>
            </w:r>
          </w:p>
        </w:tc>
        <w:tc>
          <w:tcPr>
            <w:tcW w:w="2013" w:type="dxa"/>
            <w:tcBorders>
              <w:top w:val="nil"/>
              <w:left w:val="nil"/>
              <w:bottom w:val="single" w:sz="10" w:space="0" w:color="000000"/>
              <w:right w:val="single" w:sz="5" w:space="0" w:color="000000"/>
            </w:tcBorders>
            <w:tcMar>
              <w:top w:w="0" w:type="dxa"/>
              <w:left w:w="100" w:type="dxa"/>
              <w:bottom w:w="0" w:type="dxa"/>
              <w:right w:w="100" w:type="dxa"/>
            </w:tcMar>
          </w:tcPr>
          <w:p w14:paraId="6C4E7FEE" w14:textId="77777777" w:rsidR="00834E34" w:rsidRDefault="00E0544B">
            <w:pPr>
              <w:widowControl w:val="0"/>
              <w:spacing w:before="80" w:after="40"/>
              <w:jc w:val="center"/>
              <w:rPr>
                <w:i/>
                <w:iCs/>
              </w:rPr>
            </w:pPr>
            <w:r>
              <w:rPr>
                <w:i/>
                <w:iCs/>
              </w:rPr>
              <w:t>Improbable con tecnología actual</w:t>
            </w:r>
          </w:p>
        </w:tc>
        <w:tc>
          <w:tcPr>
            <w:tcW w:w="2000" w:type="dxa"/>
            <w:tcBorders>
              <w:top w:val="nil"/>
              <w:left w:val="nil"/>
              <w:bottom w:val="single" w:sz="10" w:space="0" w:color="000000"/>
              <w:right w:val="single" w:sz="8" w:space="0" w:color="000000"/>
            </w:tcBorders>
            <w:tcMar>
              <w:top w:w="0" w:type="dxa"/>
              <w:left w:w="100" w:type="dxa"/>
              <w:bottom w:w="0" w:type="dxa"/>
              <w:right w:w="100" w:type="dxa"/>
            </w:tcMar>
          </w:tcPr>
          <w:p w14:paraId="1A8EAC9F" w14:textId="77777777" w:rsidR="00834E34" w:rsidRDefault="00E0544B">
            <w:pPr>
              <w:widowControl w:val="0"/>
              <w:spacing w:before="80" w:after="40"/>
              <w:jc w:val="center"/>
              <w:rPr>
                <w:i/>
                <w:iCs/>
              </w:rPr>
            </w:pPr>
            <w:r>
              <w:rPr>
                <w:i/>
                <w:iCs/>
              </w:rPr>
              <w:t>Corto plazo incierto</w:t>
            </w:r>
          </w:p>
        </w:tc>
        <w:tc>
          <w:tcPr>
            <w:tcW w:w="2000" w:type="dxa"/>
            <w:tcBorders>
              <w:top w:val="nil"/>
              <w:left w:val="single" w:sz="8" w:space="0" w:color="000000"/>
              <w:bottom w:val="single" w:sz="10" w:space="0" w:color="000000"/>
              <w:right w:val="nil"/>
            </w:tcBorders>
            <w:tcMar>
              <w:top w:w="0" w:type="dxa"/>
              <w:left w:w="100" w:type="dxa"/>
              <w:bottom w:w="0" w:type="dxa"/>
              <w:right w:w="100" w:type="dxa"/>
            </w:tcMar>
          </w:tcPr>
          <w:p w14:paraId="6E811D9C" w14:textId="77777777" w:rsidR="00834E34" w:rsidRDefault="00E0544B">
            <w:pPr>
              <w:widowControl w:val="0"/>
              <w:spacing w:before="80" w:after="40"/>
              <w:jc w:val="center"/>
              <w:rPr>
                <w:i/>
                <w:iCs/>
              </w:rPr>
            </w:pPr>
            <w:r>
              <w:rPr>
                <w:i/>
                <w:iCs/>
              </w:rPr>
              <w:t>Posibilidad en próximos años</w:t>
            </w:r>
          </w:p>
        </w:tc>
      </w:tr>
    </w:tbl>
    <w:p w14:paraId="14D8BA6F" w14:textId="77777777" w:rsidR="00834E34" w:rsidRDefault="00834E34">
      <w:pPr>
        <w:widowControl w:val="0"/>
        <w:spacing w:after="240"/>
        <w:ind w:right="35"/>
        <w:jc w:val="left"/>
      </w:pPr>
    </w:p>
    <w:p w14:paraId="5974FAE8" w14:textId="77777777" w:rsidR="00834E34" w:rsidRDefault="00E0544B">
      <w:pPr>
        <w:pStyle w:val="Ttulo1"/>
        <w:widowControl w:val="0"/>
        <w:numPr>
          <w:ilvl w:val="0"/>
          <w:numId w:val="1"/>
        </w:numPr>
        <w:spacing w:before="120" w:after="120"/>
        <w:ind w:right="35"/>
      </w:pPr>
      <w:r>
        <w:t>CONCLUSIONES</w:t>
      </w:r>
    </w:p>
    <w:p w14:paraId="77CA742A" w14:textId="77777777" w:rsidR="00834E34" w:rsidRDefault="00E0544B">
      <w:pPr>
        <w:widowControl w:val="0"/>
        <w:shd w:val="clear" w:color="auto" w:fill="FFFFFF"/>
        <w:ind w:right="35"/>
        <w:rPr>
          <w:color w:val="0F1115"/>
          <w:highlight w:val="white"/>
        </w:rPr>
      </w:pPr>
      <w:r>
        <w:rPr>
          <w:color w:val="0F1115"/>
          <w:highlight w:val="white"/>
        </w:rPr>
        <w:t xml:space="preserve">Nuestra investigación demuestra que la nueva generación de Inteligencias Artificiales no compite entre sí, sino que se complementa, creando un equipo cognitivo donde la clave del éxito es elegir el socio analítico correcto para cada problema. La verdadera innovación ya no reside solo en la capacidad técnica, sino en la facilidad de acceso; hemos pasado de obligar al usuario a registrarse a seducirlo con una utilidad inmediata. Las </w:t>
      </w:r>
      <w:proofErr w:type="spellStart"/>
      <w:r>
        <w:rPr>
          <w:color w:val="0F1115"/>
          <w:highlight w:val="white"/>
        </w:rPr>
        <w:t>IAs</w:t>
      </w:r>
      <w:proofErr w:type="spellEnd"/>
      <w:r>
        <w:rPr>
          <w:color w:val="0F1115"/>
          <w:highlight w:val="white"/>
        </w:rPr>
        <w:t xml:space="preserve"> que triunfan son aquellas que comprenden que deben adaptarse al usuario, ofreciendo funcionalidades básicas sin barreras, para que el registro se convierta en la consecuencia natural de un valor ya demostrado. En esencia, la facilidad de uso se ha vuelto el requisito más humano para una IA verdaderamente exitosa.</w:t>
      </w:r>
    </w:p>
    <w:p w14:paraId="2CD75FF4" w14:textId="77777777" w:rsidR="00834E34" w:rsidRDefault="00E0544B">
      <w:pPr>
        <w:pStyle w:val="Ttulo"/>
        <w:keepNext/>
        <w:spacing w:before="360" w:after="60"/>
        <w:jc w:val="left"/>
      </w:pPr>
      <w:bookmarkStart w:id="30" w:name="_txex17g5xw" w:colFirst="0" w:colLast="0"/>
      <w:bookmarkEnd w:id="30"/>
      <w:r>
        <w:t>REFERENCIAS</w:t>
      </w:r>
    </w:p>
    <w:tbl>
      <w:tblPr>
        <w:tblStyle w:val="a4"/>
        <w:tblW w:w="9406" w:type="dxa"/>
        <w:tblInd w:w="0" w:type="dxa"/>
        <w:tblLayout w:type="fixed"/>
        <w:tblLook w:val="0400" w:firstRow="0" w:lastRow="0" w:firstColumn="0" w:lastColumn="0" w:noHBand="0" w:noVBand="1"/>
      </w:tblPr>
      <w:tblGrid>
        <w:gridCol w:w="409"/>
        <w:gridCol w:w="8997"/>
      </w:tblGrid>
      <w:tr w:rsidR="00834E34" w14:paraId="4103BEEF" w14:textId="77777777">
        <w:tc>
          <w:tcPr>
            <w:tcW w:w="409" w:type="dxa"/>
          </w:tcPr>
          <w:p w14:paraId="5D88CE4F" w14:textId="77777777" w:rsidR="00834E34" w:rsidRDefault="00E0544B">
            <w:pPr>
              <w:pBdr>
                <w:top w:val="nil"/>
                <w:left w:val="nil"/>
                <w:bottom w:val="nil"/>
                <w:right w:val="nil"/>
                <w:between w:val="nil"/>
              </w:pBdr>
              <w:rPr>
                <w:color w:val="000000"/>
                <w:sz w:val="24"/>
                <w:szCs w:val="24"/>
              </w:rPr>
            </w:pPr>
            <w:r>
              <w:rPr>
                <w:color w:val="000000"/>
              </w:rPr>
              <w:t xml:space="preserve">[1] </w:t>
            </w:r>
          </w:p>
        </w:tc>
        <w:tc>
          <w:tcPr>
            <w:tcW w:w="8997" w:type="dxa"/>
          </w:tcPr>
          <w:p w14:paraId="645F8F27" w14:textId="77777777" w:rsidR="00834E34" w:rsidRDefault="00E0544B">
            <w:pPr>
              <w:pBdr>
                <w:top w:val="nil"/>
                <w:left w:val="nil"/>
                <w:bottom w:val="nil"/>
                <w:right w:val="nil"/>
                <w:between w:val="nil"/>
              </w:pBdr>
              <w:jc w:val="left"/>
              <w:rPr>
                <w:color w:val="000000"/>
              </w:rPr>
            </w:pPr>
            <w:r w:rsidRPr="00C84D19">
              <w:rPr>
                <w:color w:val="000000"/>
                <w:lang w:val="en-US"/>
              </w:rPr>
              <w:t xml:space="preserve">J. Baines, R. </w:t>
            </w:r>
            <w:proofErr w:type="spellStart"/>
            <w:r w:rsidRPr="00C84D19">
              <w:rPr>
                <w:color w:val="000000"/>
                <w:lang w:val="en-US"/>
              </w:rPr>
              <w:t>Dalal</w:t>
            </w:r>
            <w:proofErr w:type="spellEnd"/>
            <w:r w:rsidRPr="00C84D19">
              <w:rPr>
                <w:color w:val="000000"/>
                <w:lang w:val="en-US"/>
              </w:rPr>
              <w:t xml:space="preserve">, L. Ponce y H.-C. Tsai, «Advice from artificial intelligence: a review and practical </w:t>
            </w:r>
            <w:proofErr w:type="gramStart"/>
            <w:r w:rsidRPr="00C84D19">
              <w:rPr>
                <w:color w:val="000000"/>
                <w:lang w:val="en-US"/>
              </w:rPr>
              <w:t>implications,»</w:t>
            </w:r>
            <w:proofErr w:type="gramEnd"/>
            <w:r w:rsidRPr="00C84D19">
              <w:rPr>
                <w:color w:val="000000"/>
                <w:lang w:val="en-US"/>
              </w:rPr>
              <w:t xml:space="preserve"> 07 </w:t>
            </w:r>
            <w:proofErr w:type="spellStart"/>
            <w:r w:rsidRPr="00C84D19">
              <w:rPr>
                <w:color w:val="000000"/>
                <w:lang w:val="en-US"/>
              </w:rPr>
              <w:t>octubre</w:t>
            </w:r>
            <w:proofErr w:type="spellEnd"/>
            <w:r w:rsidRPr="00C84D19">
              <w:rPr>
                <w:color w:val="000000"/>
                <w:lang w:val="en-US"/>
              </w:rPr>
              <w:t xml:space="preserve"> 2024. </w:t>
            </w:r>
            <w:r>
              <w:rPr>
                <w:color w:val="000000"/>
              </w:rPr>
              <w:t xml:space="preserve">[En línea]. </w:t>
            </w:r>
            <w:proofErr w:type="spellStart"/>
            <w:r>
              <w:rPr>
                <w:color w:val="000000"/>
              </w:rPr>
              <w:t>Available</w:t>
            </w:r>
            <w:proofErr w:type="spellEnd"/>
            <w:r>
              <w:rPr>
                <w:color w:val="000000"/>
              </w:rPr>
              <w:t>: https://www.frontiersin.org/journals/psychology/articles/10.3389/fpsyg.2024.1390182/full.</w:t>
            </w:r>
          </w:p>
        </w:tc>
      </w:tr>
      <w:tr w:rsidR="00834E34" w14:paraId="01F36ACD" w14:textId="77777777">
        <w:tc>
          <w:tcPr>
            <w:tcW w:w="409" w:type="dxa"/>
          </w:tcPr>
          <w:p w14:paraId="47C0A2A7" w14:textId="77777777" w:rsidR="00834E34" w:rsidRDefault="00E0544B">
            <w:pPr>
              <w:pBdr>
                <w:top w:val="nil"/>
                <w:left w:val="nil"/>
                <w:bottom w:val="nil"/>
                <w:right w:val="nil"/>
                <w:between w:val="nil"/>
              </w:pBdr>
              <w:rPr>
                <w:color w:val="000000"/>
              </w:rPr>
            </w:pPr>
            <w:r>
              <w:rPr>
                <w:color w:val="000000"/>
              </w:rPr>
              <w:t xml:space="preserve">[2] </w:t>
            </w:r>
          </w:p>
        </w:tc>
        <w:tc>
          <w:tcPr>
            <w:tcW w:w="8997" w:type="dxa"/>
          </w:tcPr>
          <w:p w14:paraId="442CB39D" w14:textId="77777777" w:rsidR="00834E34" w:rsidRDefault="00E0544B">
            <w:pPr>
              <w:pBdr>
                <w:top w:val="nil"/>
                <w:left w:val="nil"/>
                <w:bottom w:val="nil"/>
                <w:right w:val="nil"/>
                <w:between w:val="nil"/>
              </w:pBdr>
              <w:jc w:val="left"/>
              <w:rPr>
                <w:color w:val="000000"/>
              </w:rPr>
            </w:pPr>
            <w:r w:rsidRPr="00C84D19">
              <w:rPr>
                <w:color w:val="000000"/>
                <w:lang w:val="en-US"/>
              </w:rPr>
              <w:t xml:space="preserve">R. J. </w:t>
            </w:r>
            <w:proofErr w:type="spellStart"/>
            <w:r w:rsidRPr="00C84D19">
              <w:rPr>
                <w:color w:val="000000"/>
                <w:lang w:val="en-US"/>
              </w:rPr>
              <w:t>Deriu</w:t>
            </w:r>
            <w:proofErr w:type="spellEnd"/>
            <w:r w:rsidRPr="00C84D19">
              <w:rPr>
                <w:color w:val="000000"/>
                <w:lang w:val="en-US"/>
              </w:rPr>
              <w:t xml:space="preserve">, O. A. </w:t>
            </w:r>
            <w:proofErr w:type="spellStart"/>
            <w:r w:rsidRPr="00C84D19">
              <w:rPr>
                <w:color w:val="000000"/>
                <w:lang w:val="en-US"/>
              </w:rPr>
              <w:t>Echegoyen</w:t>
            </w:r>
            <w:proofErr w:type="spellEnd"/>
            <w:r w:rsidRPr="00C84D19">
              <w:rPr>
                <w:color w:val="000000"/>
                <w:lang w:val="en-US"/>
              </w:rPr>
              <w:t xml:space="preserve"> y R. S. Aguirre, «Survey on evaluation methods for dialogue systems. </w:t>
            </w:r>
            <w:r>
              <w:rPr>
                <w:color w:val="000000"/>
              </w:rPr>
              <w:t xml:space="preserve">Artificial </w:t>
            </w:r>
            <w:proofErr w:type="spellStart"/>
            <w:r>
              <w:rPr>
                <w:color w:val="000000"/>
              </w:rPr>
              <w:t>Intelligence</w:t>
            </w:r>
            <w:proofErr w:type="spellEnd"/>
            <w:r>
              <w:rPr>
                <w:color w:val="000000"/>
              </w:rPr>
              <w:t xml:space="preserve"> </w:t>
            </w:r>
            <w:proofErr w:type="spellStart"/>
            <w:r>
              <w:rPr>
                <w:color w:val="000000"/>
              </w:rPr>
              <w:t>Review</w:t>
            </w:r>
            <w:proofErr w:type="spellEnd"/>
            <w:r>
              <w:rPr>
                <w:color w:val="000000"/>
              </w:rPr>
              <w:t xml:space="preserve">,» 25 junio 2020. </w:t>
            </w:r>
          </w:p>
        </w:tc>
      </w:tr>
      <w:tr w:rsidR="00834E34" w14:paraId="275591F6" w14:textId="77777777">
        <w:tc>
          <w:tcPr>
            <w:tcW w:w="409" w:type="dxa"/>
          </w:tcPr>
          <w:p w14:paraId="7254E900" w14:textId="77777777" w:rsidR="00834E34" w:rsidRDefault="00E0544B">
            <w:pPr>
              <w:pBdr>
                <w:top w:val="nil"/>
                <w:left w:val="nil"/>
                <w:bottom w:val="nil"/>
                <w:right w:val="nil"/>
                <w:between w:val="nil"/>
              </w:pBdr>
              <w:rPr>
                <w:color w:val="000000"/>
              </w:rPr>
            </w:pPr>
            <w:r>
              <w:rPr>
                <w:color w:val="000000"/>
              </w:rPr>
              <w:t xml:space="preserve">[3] </w:t>
            </w:r>
          </w:p>
        </w:tc>
        <w:tc>
          <w:tcPr>
            <w:tcW w:w="8997" w:type="dxa"/>
          </w:tcPr>
          <w:p w14:paraId="3E7B9D7D" w14:textId="77777777" w:rsidR="00834E34" w:rsidRDefault="00E0544B">
            <w:pPr>
              <w:pBdr>
                <w:top w:val="nil"/>
                <w:left w:val="nil"/>
                <w:bottom w:val="nil"/>
                <w:right w:val="nil"/>
                <w:between w:val="nil"/>
              </w:pBdr>
              <w:jc w:val="left"/>
              <w:rPr>
                <w:color w:val="000000"/>
              </w:rPr>
            </w:pPr>
            <w:r>
              <w:rPr>
                <w:color w:val="000000"/>
              </w:rPr>
              <w:t xml:space="preserve">M. A. Benavides Lara y V. J. Rendon </w:t>
            </w:r>
            <w:proofErr w:type="spellStart"/>
            <w:r>
              <w:rPr>
                <w:color w:val="000000"/>
              </w:rPr>
              <w:t>Cazales</w:t>
            </w:r>
            <w:proofErr w:type="spellEnd"/>
            <w:r>
              <w:rPr>
                <w:color w:val="000000"/>
              </w:rPr>
              <w:t xml:space="preserve">, «Presencia y uso de la inteligencia artificial generativa en la Universidad Nacional Autónoma de México,» </w:t>
            </w:r>
            <w:r>
              <w:rPr>
                <w:i/>
                <w:iCs/>
                <w:color w:val="000000"/>
              </w:rPr>
              <w:t xml:space="preserve">Revista Digital Universitaria, </w:t>
            </w:r>
            <w:r>
              <w:rPr>
                <w:color w:val="000000"/>
              </w:rPr>
              <w:t xml:space="preserve">vol. 26, </w:t>
            </w:r>
            <w:proofErr w:type="spellStart"/>
            <w:r>
              <w:rPr>
                <w:color w:val="000000"/>
              </w:rPr>
              <w:t>nº</w:t>
            </w:r>
            <w:proofErr w:type="spellEnd"/>
            <w:r>
              <w:rPr>
                <w:color w:val="000000"/>
              </w:rPr>
              <w:t xml:space="preserve"> 1, p. 16, </w:t>
            </w:r>
            <w:proofErr w:type="gramStart"/>
            <w:r>
              <w:rPr>
                <w:color w:val="000000"/>
              </w:rPr>
              <w:t>Enero</w:t>
            </w:r>
            <w:proofErr w:type="gramEnd"/>
            <w:r>
              <w:rPr>
                <w:color w:val="000000"/>
              </w:rPr>
              <w:t xml:space="preserve"> 2025. </w:t>
            </w:r>
          </w:p>
        </w:tc>
      </w:tr>
      <w:tr w:rsidR="00834E34" w:rsidRPr="00101272" w14:paraId="5057F199" w14:textId="77777777">
        <w:tc>
          <w:tcPr>
            <w:tcW w:w="409" w:type="dxa"/>
          </w:tcPr>
          <w:p w14:paraId="18CD6422" w14:textId="77777777" w:rsidR="00834E34" w:rsidRDefault="00E0544B">
            <w:pPr>
              <w:pBdr>
                <w:top w:val="nil"/>
                <w:left w:val="nil"/>
                <w:bottom w:val="nil"/>
                <w:right w:val="nil"/>
                <w:between w:val="nil"/>
              </w:pBdr>
              <w:rPr>
                <w:color w:val="000000"/>
              </w:rPr>
            </w:pPr>
            <w:r>
              <w:rPr>
                <w:color w:val="000000"/>
              </w:rPr>
              <w:t xml:space="preserve">[4] </w:t>
            </w:r>
          </w:p>
        </w:tc>
        <w:tc>
          <w:tcPr>
            <w:tcW w:w="8997" w:type="dxa"/>
          </w:tcPr>
          <w:p w14:paraId="1A87370F" w14:textId="77777777" w:rsidR="00834E34" w:rsidRPr="00C84D19" w:rsidRDefault="00E0544B">
            <w:pPr>
              <w:pBdr>
                <w:top w:val="nil"/>
                <w:left w:val="nil"/>
                <w:bottom w:val="nil"/>
                <w:right w:val="nil"/>
                <w:between w:val="nil"/>
              </w:pBdr>
              <w:jc w:val="left"/>
              <w:rPr>
                <w:color w:val="000000"/>
                <w:lang w:val="en-US"/>
              </w:rPr>
            </w:pPr>
            <w:r w:rsidRPr="00C84D19">
              <w:rPr>
                <w:color w:val="000000"/>
                <w:lang w:val="en-US"/>
              </w:rPr>
              <w:t xml:space="preserve">D. Akiba y M. </w:t>
            </w:r>
            <w:proofErr w:type="spellStart"/>
            <w:r w:rsidRPr="00C84D19">
              <w:rPr>
                <w:color w:val="000000"/>
                <w:lang w:val="en-US"/>
              </w:rPr>
              <w:t>Fraboni</w:t>
            </w:r>
            <w:proofErr w:type="spellEnd"/>
            <w:r w:rsidRPr="00C84D19">
              <w:rPr>
                <w:color w:val="000000"/>
                <w:lang w:val="en-US"/>
              </w:rPr>
              <w:t xml:space="preserve">, «AI-Supported Academic Advising: Exploring </w:t>
            </w:r>
            <w:proofErr w:type="spellStart"/>
            <w:r w:rsidRPr="00C84D19">
              <w:rPr>
                <w:color w:val="000000"/>
                <w:lang w:val="en-US"/>
              </w:rPr>
              <w:t>ChatGPT’s</w:t>
            </w:r>
            <w:proofErr w:type="spellEnd"/>
            <w:r w:rsidRPr="00C84D19">
              <w:rPr>
                <w:color w:val="000000"/>
                <w:lang w:val="en-US"/>
              </w:rPr>
              <w:t xml:space="preserve"> Current State and Future Potential toward Student </w:t>
            </w:r>
            <w:proofErr w:type="gramStart"/>
            <w:r w:rsidRPr="00C84D19">
              <w:rPr>
                <w:color w:val="000000"/>
                <w:lang w:val="en-US"/>
              </w:rPr>
              <w:t>Empowerment,»</w:t>
            </w:r>
            <w:proofErr w:type="gramEnd"/>
            <w:r w:rsidRPr="00C84D19">
              <w:rPr>
                <w:color w:val="000000"/>
                <w:lang w:val="en-US"/>
              </w:rPr>
              <w:t xml:space="preserve"> 27 </w:t>
            </w:r>
            <w:proofErr w:type="spellStart"/>
            <w:r w:rsidRPr="00C84D19">
              <w:rPr>
                <w:color w:val="000000"/>
                <w:lang w:val="en-US"/>
              </w:rPr>
              <w:t>julio</w:t>
            </w:r>
            <w:proofErr w:type="spellEnd"/>
            <w:r w:rsidRPr="00C84D19">
              <w:rPr>
                <w:color w:val="000000"/>
                <w:lang w:val="en-US"/>
              </w:rPr>
              <w:t xml:space="preserve"> 2023. </w:t>
            </w:r>
          </w:p>
        </w:tc>
      </w:tr>
      <w:tr w:rsidR="00834E34" w:rsidRPr="00101272" w14:paraId="71B86329" w14:textId="77777777">
        <w:tc>
          <w:tcPr>
            <w:tcW w:w="409" w:type="dxa"/>
          </w:tcPr>
          <w:p w14:paraId="58DC486E" w14:textId="77777777" w:rsidR="00834E34" w:rsidRDefault="00E0544B">
            <w:pPr>
              <w:pBdr>
                <w:top w:val="nil"/>
                <w:left w:val="nil"/>
                <w:bottom w:val="nil"/>
                <w:right w:val="nil"/>
                <w:between w:val="nil"/>
              </w:pBdr>
              <w:rPr>
                <w:color w:val="000000"/>
              </w:rPr>
            </w:pPr>
            <w:r>
              <w:rPr>
                <w:color w:val="000000"/>
              </w:rPr>
              <w:t xml:space="preserve">[5] </w:t>
            </w:r>
          </w:p>
        </w:tc>
        <w:tc>
          <w:tcPr>
            <w:tcW w:w="8997" w:type="dxa"/>
          </w:tcPr>
          <w:p w14:paraId="15D3999A" w14:textId="77777777" w:rsidR="00834E34" w:rsidRPr="00C84D19" w:rsidRDefault="00E0544B">
            <w:pPr>
              <w:pBdr>
                <w:top w:val="nil"/>
                <w:left w:val="nil"/>
                <w:bottom w:val="nil"/>
                <w:right w:val="nil"/>
                <w:between w:val="nil"/>
              </w:pBdr>
              <w:jc w:val="left"/>
              <w:rPr>
                <w:color w:val="000000"/>
                <w:lang w:val="en-US"/>
              </w:rPr>
            </w:pPr>
            <w:r w:rsidRPr="00C84D19">
              <w:rPr>
                <w:color w:val="000000"/>
                <w:lang w:val="en-US"/>
              </w:rPr>
              <w:t xml:space="preserve">N. </w:t>
            </w:r>
            <w:proofErr w:type="spellStart"/>
            <w:r w:rsidRPr="00C84D19">
              <w:rPr>
                <w:color w:val="000000"/>
                <w:lang w:val="en-US"/>
              </w:rPr>
              <w:t>Almusharraf</w:t>
            </w:r>
            <w:proofErr w:type="spellEnd"/>
            <w:r w:rsidRPr="00C84D19">
              <w:rPr>
                <w:color w:val="000000"/>
                <w:lang w:val="en-US"/>
              </w:rPr>
              <w:t xml:space="preserve">, «Google Gemini as a next generation AI educational tool: a review of emerging educational technology - Smart Learning </w:t>
            </w:r>
            <w:proofErr w:type="gramStart"/>
            <w:r w:rsidRPr="00C84D19">
              <w:rPr>
                <w:color w:val="000000"/>
                <w:lang w:val="en-US"/>
              </w:rPr>
              <w:t>Environments,»</w:t>
            </w:r>
            <w:proofErr w:type="gramEnd"/>
            <w:r w:rsidRPr="00C84D19">
              <w:rPr>
                <w:color w:val="000000"/>
                <w:lang w:val="en-US"/>
              </w:rPr>
              <w:t xml:space="preserve"> 23 May 2024. </w:t>
            </w:r>
          </w:p>
        </w:tc>
      </w:tr>
      <w:tr w:rsidR="00834E34" w:rsidRPr="00101272" w14:paraId="7CD39BF5" w14:textId="77777777">
        <w:tc>
          <w:tcPr>
            <w:tcW w:w="409" w:type="dxa"/>
          </w:tcPr>
          <w:p w14:paraId="49C12144" w14:textId="77777777" w:rsidR="00834E34" w:rsidRDefault="00E0544B">
            <w:pPr>
              <w:pBdr>
                <w:top w:val="nil"/>
                <w:left w:val="nil"/>
                <w:bottom w:val="nil"/>
                <w:right w:val="nil"/>
                <w:between w:val="nil"/>
              </w:pBdr>
              <w:rPr>
                <w:color w:val="000000"/>
              </w:rPr>
            </w:pPr>
            <w:r>
              <w:rPr>
                <w:color w:val="000000"/>
              </w:rPr>
              <w:t xml:space="preserve">[6] </w:t>
            </w:r>
          </w:p>
        </w:tc>
        <w:tc>
          <w:tcPr>
            <w:tcW w:w="8997" w:type="dxa"/>
          </w:tcPr>
          <w:p w14:paraId="112613D5" w14:textId="77777777" w:rsidR="00834E34" w:rsidRPr="00C84D19" w:rsidRDefault="00E0544B">
            <w:pPr>
              <w:pBdr>
                <w:top w:val="nil"/>
                <w:left w:val="nil"/>
                <w:bottom w:val="nil"/>
                <w:right w:val="nil"/>
                <w:between w:val="nil"/>
              </w:pBdr>
              <w:jc w:val="left"/>
              <w:rPr>
                <w:color w:val="000000"/>
                <w:lang w:val="en-US"/>
              </w:rPr>
            </w:pPr>
            <w:r w:rsidRPr="00C84D19">
              <w:rPr>
                <w:color w:val="000000"/>
                <w:lang w:val="en-US"/>
              </w:rPr>
              <w:t xml:space="preserve">M. Soori y R. </w:t>
            </w:r>
            <w:proofErr w:type="spellStart"/>
            <w:r w:rsidRPr="00C84D19">
              <w:rPr>
                <w:color w:val="000000"/>
                <w:lang w:val="en-US"/>
              </w:rPr>
              <w:t>Dastres</w:t>
            </w:r>
            <w:proofErr w:type="spellEnd"/>
            <w:r w:rsidRPr="00C84D19">
              <w:rPr>
                <w:color w:val="000000"/>
                <w:lang w:val="en-US"/>
              </w:rPr>
              <w:t xml:space="preserve">, «AI-based decision support systems in Industry 4.0, a </w:t>
            </w:r>
            <w:proofErr w:type="gramStart"/>
            <w:r w:rsidRPr="00C84D19">
              <w:rPr>
                <w:color w:val="000000"/>
                <w:lang w:val="en-US"/>
              </w:rPr>
              <w:t>review,»</w:t>
            </w:r>
            <w:proofErr w:type="gramEnd"/>
            <w:r w:rsidRPr="00C84D19">
              <w:rPr>
                <w:color w:val="000000"/>
                <w:lang w:val="en-US"/>
              </w:rPr>
              <w:t xml:space="preserve"> </w:t>
            </w:r>
            <w:r w:rsidRPr="00C84D19">
              <w:rPr>
                <w:i/>
                <w:iCs/>
                <w:color w:val="000000"/>
                <w:lang w:val="en-US"/>
              </w:rPr>
              <w:t xml:space="preserve">ScienceDirect, </w:t>
            </w:r>
            <w:r w:rsidRPr="00C84D19">
              <w:rPr>
                <w:color w:val="000000"/>
                <w:lang w:val="en-US"/>
              </w:rPr>
              <w:t xml:space="preserve">vol. 04, p. 20. </w:t>
            </w:r>
          </w:p>
        </w:tc>
      </w:tr>
      <w:tr w:rsidR="00834E34" w14:paraId="6B563C90" w14:textId="77777777">
        <w:tc>
          <w:tcPr>
            <w:tcW w:w="409" w:type="dxa"/>
          </w:tcPr>
          <w:p w14:paraId="5D12EE14" w14:textId="77777777" w:rsidR="00834E34" w:rsidRDefault="00E0544B">
            <w:pPr>
              <w:pBdr>
                <w:top w:val="nil"/>
                <w:left w:val="nil"/>
                <w:bottom w:val="nil"/>
                <w:right w:val="nil"/>
                <w:between w:val="nil"/>
              </w:pBdr>
              <w:rPr>
                <w:color w:val="000000"/>
              </w:rPr>
            </w:pPr>
            <w:r>
              <w:rPr>
                <w:color w:val="000000"/>
              </w:rPr>
              <w:t xml:space="preserve">[7] </w:t>
            </w:r>
          </w:p>
        </w:tc>
        <w:tc>
          <w:tcPr>
            <w:tcW w:w="8997" w:type="dxa"/>
          </w:tcPr>
          <w:p w14:paraId="3A445AA5" w14:textId="77777777" w:rsidR="00834E34" w:rsidRDefault="00E0544B">
            <w:pPr>
              <w:pBdr>
                <w:top w:val="nil"/>
                <w:left w:val="nil"/>
                <w:bottom w:val="nil"/>
                <w:right w:val="nil"/>
                <w:between w:val="nil"/>
              </w:pBdr>
              <w:jc w:val="left"/>
              <w:rPr>
                <w:color w:val="000000"/>
              </w:rPr>
            </w:pPr>
            <w:r>
              <w:rPr>
                <w:color w:val="000000"/>
              </w:rPr>
              <w:t xml:space="preserve">H. F. Vallejo Ballestero y R. E. Aguilar Pazos, «La inteligencia artificial generativa como recurso didáctico en la educación superior. Una revisión sistemática,» </w:t>
            </w:r>
            <w:proofErr w:type="spellStart"/>
            <w:r>
              <w:rPr>
                <w:i/>
                <w:iCs/>
                <w:color w:val="000000"/>
              </w:rPr>
              <w:t>ReciMundo</w:t>
            </w:r>
            <w:proofErr w:type="spellEnd"/>
            <w:r>
              <w:rPr>
                <w:i/>
                <w:iCs/>
                <w:color w:val="000000"/>
              </w:rPr>
              <w:t xml:space="preserve">, </w:t>
            </w:r>
            <w:r>
              <w:rPr>
                <w:color w:val="000000"/>
              </w:rPr>
              <w:t xml:space="preserve">vol. 9, </w:t>
            </w:r>
            <w:proofErr w:type="spellStart"/>
            <w:r>
              <w:rPr>
                <w:color w:val="000000"/>
              </w:rPr>
              <w:t>nº</w:t>
            </w:r>
            <w:proofErr w:type="spellEnd"/>
            <w:r>
              <w:rPr>
                <w:color w:val="000000"/>
              </w:rPr>
              <w:t xml:space="preserve"> 2, p. 15, 07 05 2025. </w:t>
            </w:r>
          </w:p>
        </w:tc>
      </w:tr>
      <w:tr w:rsidR="00834E34" w:rsidRPr="00101272" w14:paraId="23912F70" w14:textId="77777777">
        <w:tc>
          <w:tcPr>
            <w:tcW w:w="409" w:type="dxa"/>
          </w:tcPr>
          <w:p w14:paraId="665E4B3C" w14:textId="77777777" w:rsidR="00834E34" w:rsidRDefault="00E0544B">
            <w:pPr>
              <w:pBdr>
                <w:top w:val="nil"/>
                <w:left w:val="nil"/>
                <w:bottom w:val="nil"/>
                <w:right w:val="nil"/>
                <w:between w:val="nil"/>
              </w:pBdr>
              <w:rPr>
                <w:color w:val="000000"/>
              </w:rPr>
            </w:pPr>
            <w:r>
              <w:rPr>
                <w:color w:val="000000"/>
              </w:rPr>
              <w:t xml:space="preserve">[8] </w:t>
            </w:r>
          </w:p>
        </w:tc>
        <w:tc>
          <w:tcPr>
            <w:tcW w:w="8997" w:type="dxa"/>
          </w:tcPr>
          <w:p w14:paraId="4A791E6E" w14:textId="77777777" w:rsidR="00834E34" w:rsidRPr="00C84D19" w:rsidRDefault="00E0544B">
            <w:pPr>
              <w:pBdr>
                <w:top w:val="nil"/>
                <w:left w:val="nil"/>
                <w:bottom w:val="nil"/>
                <w:right w:val="nil"/>
                <w:between w:val="nil"/>
              </w:pBdr>
              <w:jc w:val="left"/>
              <w:rPr>
                <w:color w:val="000000"/>
                <w:lang w:val="en-US"/>
              </w:rPr>
            </w:pPr>
            <w:r w:rsidRPr="00C84D19">
              <w:rPr>
                <w:color w:val="000000"/>
                <w:lang w:val="en-US"/>
              </w:rPr>
              <w:t xml:space="preserve">O. Lopez Solis y A. </w:t>
            </w:r>
            <w:proofErr w:type="spellStart"/>
            <w:r w:rsidRPr="00C84D19">
              <w:rPr>
                <w:color w:val="000000"/>
                <w:lang w:val="en-US"/>
              </w:rPr>
              <w:t>Luzuriaga</w:t>
            </w:r>
            <w:proofErr w:type="spellEnd"/>
            <w:r w:rsidRPr="00C84D19">
              <w:rPr>
                <w:color w:val="000000"/>
                <w:lang w:val="en-US"/>
              </w:rPr>
              <w:t xml:space="preserve"> Jaramillo, «Effect of Generative Artificial Intelligence on Strategic Decision-Making in Entrepreneurial Business Initiatives: A Systematic Literature </w:t>
            </w:r>
            <w:proofErr w:type="gramStart"/>
            <w:r w:rsidRPr="00C84D19">
              <w:rPr>
                <w:color w:val="000000"/>
                <w:lang w:val="en-US"/>
              </w:rPr>
              <w:t>Review,»</w:t>
            </w:r>
            <w:proofErr w:type="gramEnd"/>
            <w:r w:rsidRPr="00C84D19">
              <w:rPr>
                <w:color w:val="000000"/>
                <w:lang w:val="en-US"/>
              </w:rPr>
              <w:t xml:space="preserve"> </w:t>
            </w:r>
            <w:r w:rsidRPr="00C84D19">
              <w:rPr>
                <w:i/>
                <w:iCs/>
                <w:color w:val="000000"/>
                <w:lang w:val="en-US"/>
              </w:rPr>
              <w:t xml:space="preserve">MDPI, </w:t>
            </w:r>
            <w:r w:rsidRPr="00C84D19">
              <w:rPr>
                <w:color w:val="000000"/>
                <w:lang w:val="en-US"/>
              </w:rPr>
              <w:t xml:space="preserve">vol. 15, nº 2, p. 25, 13 02 2025. </w:t>
            </w:r>
          </w:p>
        </w:tc>
      </w:tr>
      <w:tr w:rsidR="00834E34" w14:paraId="4482DD26" w14:textId="77777777">
        <w:tc>
          <w:tcPr>
            <w:tcW w:w="409" w:type="dxa"/>
          </w:tcPr>
          <w:p w14:paraId="13D5AE7C" w14:textId="77777777" w:rsidR="00834E34" w:rsidRDefault="00E0544B">
            <w:pPr>
              <w:pBdr>
                <w:top w:val="nil"/>
                <w:left w:val="nil"/>
                <w:bottom w:val="nil"/>
                <w:right w:val="nil"/>
                <w:between w:val="nil"/>
              </w:pBdr>
              <w:rPr>
                <w:color w:val="000000"/>
              </w:rPr>
            </w:pPr>
            <w:r>
              <w:rPr>
                <w:color w:val="000000"/>
              </w:rPr>
              <w:t xml:space="preserve">[9] </w:t>
            </w:r>
          </w:p>
        </w:tc>
        <w:tc>
          <w:tcPr>
            <w:tcW w:w="8997" w:type="dxa"/>
          </w:tcPr>
          <w:p w14:paraId="079399E0" w14:textId="77777777" w:rsidR="00834E34" w:rsidRDefault="00E0544B">
            <w:pPr>
              <w:pBdr>
                <w:top w:val="nil"/>
                <w:left w:val="nil"/>
                <w:bottom w:val="nil"/>
                <w:right w:val="nil"/>
                <w:between w:val="nil"/>
              </w:pBdr>
              <w:jc w:val="left"/>
              <w:rPr>
                <w:color w:val="000000"/>
              </w:rPr>
            </w:pPr>
            <w:r>
              <w:rPr>
                <w:color w:val="000000"/>
              </w:rPr>
              <w:t xml:space="preserve">J. C. </w:t>
            </w:r>
            <w:proofErr w:type="spellStart"/>
            <w:r>
              <w:rPr>
                <w:color w:val="000000"/>
              </w:rPr>
              <w:t>Valdes</w:t>
            </w:r>
            <w:proofErr w:type="spellEnd"/>
            <w:r>
              <w:rPr>
                <w:color w:val="000000"/>
              </w:rPr>
              <w:t xml:space="preserve"> </w:t>
            </w:r>
            <w:proofErr w:type="spellStart"/>
            <w:r>
              <w:rPr>
                <w:color w:val="000000"/>
              </w:rPr>
              <w:t>Ahuatzi</w:t>
            </w:r>
            <w:proofErr w:type="spellEnd"/>
            <w:r>
              <w:rPr>
                <w:color w:val="000000"/>
              </w:rPr>
              <w:t xml:space="preserve">, «Implementación de un asesor académico digital usando inteligencia artificial generativa,» </w:t>
            </w:r>
            <w:r>
              <w:rPr>
                <w:i/>
                <w:iCs/>
                <w:color w:val="000000"/>
              </w:rPr>
              <w:t xml:space="preserve">Alianzas y Tendencias BUAP, </w:t>
            </w:r>
            <w:r>
              <w:rPr>
                <w:color w:val="000000"/>
              </w:rPr>
              <w:t xml:space="preserve">vol. 59, </w:t>
            </w:r>
            <w:proofErr w:type="spellStart"/>
            <w:r>
              <w:rPr>
                <w:color w:val="000000"/>
              </w:rPr>
              <w:t>nº</w:t>
            </w:r>
            <w:proofErr w:type="spellEnd"/>
            <w:r>
              <w:rPr>
                <w:color w:val="000000"/>
              </w:rPr>
              <w:t xml:space="preserve"> 73, p. 15, 26 02 2025. </w:t>
            </w:r>
          </w:p>
        </w:tc>
      </w:tr>
      <w:tr w:rsidR="00834E34" w:rsidRPr="00101272" w14:paraId="3EB995DB" w14:textId="77777777">
        <w:tc>
          <w:tcPr>
            <w:tcW w:w="409" w:type="dxa"/>
          </w:tcPr>
          <w:p w14:paraId="6B6ACC2D" w14:textId="77777777" w:rsidR="00834E34" w:rsidRDefault="00E0544B">
            <w:pPr>
              <w:pBdr>
                <w:top w:val="nil"/>
                <w:left w:val="nil"/>
                <w:bottom w:val="nil"/>
                <w:right w:val="nil"/>
                <w:between w:val="nil"/>
              </w:pBdr>
              <w:rPr>
                <w:color w:val="000000"/>
              </w:rPr>
            </w:pPr>
            <w:r>
              <w:rPr>
                <w:color w:val="000000"/>
              </w:rPr>
              <w:t xml:space="preserve">[10] </w:t>
            </w:r>
          </w:p>
        </w:tc>
        <w:tc>
          <w:tcPr>
            <w:tcW w:w="8997" w:type="dxa"/>
          </w:tcPr>
          <w:p w14:paraId="7B27BE39" w14:textId="77777777" w:rsidR="00834E34" w:rsidRPr="00C84D19" w:rsidRDefault="00E0544B">
            <w:pPr>
              <w:pBdr>
                <w:top w:val="nil"/>
                <w:left w:val="nil"/>
                <w:bottom w:val="nil"/>
                <w:right w:val="nil"/>
                <w:between w:val="nil"/>
              </w:pBdr>
              <w:jc w:val="left"/>
              <w:rPr>
                <w:color w:val="000000"/>
                <w:lang w:val="en-US"/>
              </w:rPr>
            </w:pPr>
            <w:r w:rsidRPr="00C84D19">
              <w:rPr>
                <w:color w:val="000000"/>
                <w:lang w:val="en-US"/>
              </w:rPr>
              <w:t xml:space="preserve">M. F. Shahzad y S. Xu, «ChatGPT awareness, acceptance, and adoption in higher education: the role of trust as a cornerstone - International Journal of Educational Technology in Higher </w:t>
            </w:r>
            <w:proofErr w:type="gramStart"/>
            <w:r w:rsidRPr="00C84D19">
              <w:rPr>
                <w:color w:val="000000"/>
                <w:lang w:val="en-US"/>
              </w:rPr>
              <w:t>Education,»</w:t>
            </w:r>
            <w:proofErr w:type="gramEnd"/>
            <w:r w:rsidRPr="00C84D19">
              <w:rPr>
                <w:color w:val="000000"/>
                <w:lang w:val="en-US"/>
              </w:rPr>
              <w:t xml:space="preserve"> 31 July 2024. </w:t>
            </w:r>
          </w:p>
        </w:tc>
      </w:tr>
      <w:tr w:rsidR="00834E34" w:rsidRPr="00101272" w14:paraId="2D012F6D" w14:textId="77777777">
        <w:tc>
          <w:tcPr>
            <w:tcW w:w="409" w:type="dxa"/>
          </w:tcPr>
          <w:p w14:paraId="70B6C3DA" w14:textId="77777777" w:rsidR="00834E34" w:rsidRDefault="00E0544B">
            <w:pPr>
              <w:pBdr>
                <w:top w:val="nil"/>
                <w:left w:val="nil"/>
                <w:bottom w:val="nil"/>
                <w:right w:val="nil"/>
                <w:between w:val="nil"/>
              </w:pBdr>
              <w:rPr>
                <w:color w:val="000000"/>
              </w:rPr>
            </w:pPr>
            <w:r>
              <w:rPr>
                <w:color w:val="000000"/>
              </w:rPr>
              <w:t xml:space="preserve">[11] </w:t>
            </w:r>
          </w:p>
        </w:tc>
        <w:tc>
          <w:tcPr>
            <w:tcW w:w="8997" w:type="dxa"/>
          </w:tcPr>
          <w:p w14:paraId="2E848579" w14:textId="77777777" w:rsidR="00834E34" w:rsidRPr="00C84D19" w:rsidRDefault="00E0544B">
            <w:pPr>
              <w:pBdr>
                <w:top w:val="nil"/>
                <w:left w:val="nil"/>
                <w:bottom w:val="nil"/>
                <w:right w:val="nil"/>
                <w:between w:val="nil"/>
              </w:pBdr>
              <w:jc w:val="left"/>
              <w:rPr>
                <w:color w:val="000000"/>
                <w:lang w:val="en-US"/>
              </w:rPr>
            </w:pPr>
            <w:r w:rsidRPr="00C84D19">
              <w:rPr>
                <w:color w:val="000000"/>
                <w:lang w:val="en-US"/>
              </w:rPr>
              <w:t xml:space="preserve">A. Choudhury, Y. </w:t>
            </w:r>
            <w:proofErr w:type="spellStart"/>
            <w:r w:rsidRPr="00C84D19">
              <w:rPr>
                <w:color w:val="000000"/>
                <w:lang w:val="en-US"/>
              </w:rPr>
              <w:t>Shahsavar</w:t>
            </w:r>
            <w:proofErr w:type="spellEnd"/>
            <w:r w:rsidRPr="00C84D19">
              <w:rPr>
                <w:color w:val="000000"/>
                <w:lang w:val="en-US"/>
              </w:rPr>
              <w:t xml:space="preserve"> y H. </w:t>
            </w:r>
            <w:proofErr w:type="spellStart"/>
            <w:r w:rsidRPr="00C84D19">
              <w:rPr>
                <w:color w:val="000000"/>
                <w:lang w:val="en-US"/>
              </w:rPr>
              <w:t>Shamszare</w:t>
            </w:r>
            <w:proofErr w:type="spellEnd"/>
            <w:r w:rsidRPr="00C84D19">
              <w:rPr>
                <w:color w:val="000000"/>
                <w:lang w:val="en-US"/>
              </w:rPr>
              <w:t xml:space="preserve">, «User Intent to Use DeepSeek for Healthcare Purposes and their Trust in the Large Language Model: Multinational Survey </w:t>
            </w:r>
            <w:proofErr w:type="gramStart"/>
            <w:r w:rsidRPr="00C84D19">
              <w:rPr>
                <w:color w:val="000000"/>
                <w:lang w:val="en-US"/>
              </w:rPr>
              <w:t>Study,»</w:t>
            </w:r>
            <w:proofErr w:type="gramEnd"/>
            <w:r w:rsidRPr="00C84D19">
              <w:rPr>
                <w:color w:val="000000"/>
                <w:lang w:val="en-US"/>
              </w:rPr>
              <w:t xml:space="preserve"> 18 02 2025. </w:t>
            </w:r>
          </w:p>
        </w:tc>
      </w:tr>
      <w:tr w:rsidR="00834E34" w14:paraId="0A7C4C1B" w14:textId="77777777">
        <w:tc>
          <w:tcPr>
            <w:tcW w:w="409" w:type="dxa"/>
          </w:tcPr>
          <w:p w14:paraId="2185327B" w14:textId="77777777" w:rsidR="00834E34" w:rsidRDefault="00E0544B">
            <w:pPr>
              <w:pBdr>
                <w:top w:val="nil"/>
                <w:left w:val="nil"/>
                <w:bottom w:val="nil"/>
                <w:right w:val="nil"/>
                <w:between w:val="nil"/>
              </w:pBdr>
              <w:rPr>
                <w:color w:val="000000"/>
              </w:rPr>
            </w:pPr>
            <w:r>
              <w:rPr>
                <w:color w:val="000000"/>
              </w:rPr>
              <w:t xml:space="preserve">[12] </w:t>
            </w:r>
          </w:p>
        </w:tc>
        <w:tc>
          <w:tcPr>
            <w:tcW w:w="8997" w:type="dxa"/>
          </w:tcPr>
          <w:p w14:paraId="0DEE4FE9" w14:textId="77777777" w:rsidR="00834E34" w:rsidRDefault="00E0544B">
            <w:pPr>
              <w:pBdr>
                <w:top w:val="nil"/>
                <w:left w:val="nil"/>
                <w:bottom w:val="nil"/>
                <w:right w:val="nil"/>
                <w:between w:val="nil"/>
              </w:pBdr>
              <w:jc w:val="left"/>
              <w:rPr>
                <w:color w:val="000000"/>
              </w:rPr>
            </w:pPr>
            <w:r>
              <w:rPr>
                <w:color w:val="000000"/>
              </w:rPr>
              <w:t xml:space="preserve">Kimi </w:t>
            </w:r>
            <w:proofErr w:type="spellStart"/>
            <w:r>
              <w:rPr>
                <w:color w:val="000000"/>
              </w:rPr>
              <w:t>Team</w:t>
            </w:r>
            <w:proofErr w:type="spellEnd"/>
            <w:r>
              <w:rPr>
                <w:color w:val="000000"/>
              </w:rPr>
              <w:t xml:space="preserve">, «Kimi K2: Open </w:t>
            </w:r>
            <w:proofErr w:type="spellStart"/>
            <w:r>
              <w:rPr>
                <w:color w:val="000000"/>
              </w:rPr>
              <w:t>Agentic</w:t>
            </w:r>
            <w:proofErr w:type="spellEnd"/>
            <w:r>
              <w:rPr>
                <w:color w:val="000000"/>
              </w:rPr>
              <w:t xml:space="preserve"> </w:t>
            </w:r>
            <w:proofErr w:type="spellStart"/>
            <w:r>
              <w:rPr>
                <w:color w:val="000000"/>
              </w:rPr>
              <w:t>Intelligence</w:t>
            </w:r>
            <w:proofErr w:type="spellEnd"/>
            <w:r>
              <w:rPr>
                <w:color w:val="000000"/>
              </w:rPr>
              <w:t xml:space="preserve">,» vol. Vol.1, 28 julio 2025. </w:t>
            </w:r>
          </w:p>
        </w:tc>
      </w:tr>
      <w:tr w:rsidR="00834E34" w:rsidRPr="00101272" w14:paraId="1D8F0B9F" w14:textId="77777777">
        <w:tc>
          <w:tcPr>
            <w:tcW w:w="409" w:type="dxa"/>
          </w:tcPr>
          <w:p w14:paraId="5D804C99" w14:textId="77777777" w:rsidR="00834E34" w:rsidRDefault="00E0544B">
            <w:pPr>
              <w:pBdr>
                <w:top w:val="nil"/>
                <w:left w:val="nil"/>
                <w:bottom w:val="nil"/>
                <w:right w:val="nil"/>
                <w:between w:val="nil"/>
              </w:pBdr>
              <w:rPr>
                <w:color w:val="000000"/>
              </w:rPr>
            </w:pPr>
            <w:r>
              <w:rPr>
                <w:color w:val="000000"/>
              </w:rPr>
              <w:t xml:space="preserve">[13] </w:t>
            </w:r>
          </w:p>
        </w:tc>
        <w:tc>
          <w:tcPr>
            <w:tcW w:w="8997" w:type="dxa"/>
          </w:tcPr>
          <w:p w14:paraId="1E076A8B" w14:textId="2B32F79A" w:rsidR="00834E34" w:rsidRPr="00C84D19" w:rsidRDefault="008F5C37">
            <w:pPr>
              <w:pBdr>
                <w:top w:val="nil"/>
                <w:left w:val="nil"/>
                <w:bottom w:val="nil"/>
                <w:right w:val="nil"/>
                <w:between w:val="nil"/>
              </w:pBdr>
              <w:jc w:val="left"/>
              <w:rPr>
                <w:color w:val="000000"/>
                <w:lang w:val="en-US"/>
              </w:rPr>
            </w:pPr>
            <w:r w:rsidRPr="008F5C37">
              <w:rPr>
                <w:color w:val="000000"/>
                <w:lang w:val="en-US"/>
              </w:rPr>
              <w:t xml:space="preserve">L. Percy, B. Rishi, L. Tony, T. Dimitris, S. Dilara, Y. </w:t>
            </w:r>
            <w:proofErr w:type="spellStart"/>
            <w:r w:rsidRPr="008F5C37">
              <w:rPr>
                <w:color w:val="000000"/>
                <w:lang w:val="en-US"/>
              </w:rPr>
              <w:t>Michihiro</w:t>
            </w:r>
            <w:proofErr w:type="spellEnd"/>
            <w:r w:rsidRPr="008F5C37">
              <w:rPr>
                <w:color w:val="000000"/>
                <w:lang w:val="en-US"/>
              </w:rPr>
              <w:t xml:space="preserve">, Z. </w:t>
            </w:r>
            <w:proofErr w:type="spellStart"/>
            <w:r w:rsidRPr="008F5C37">
              <w:rPr>
                <w:color w:val="000000"/>
                <w:lang w:val="en-US"/>
              </w:rPr>
              <w:t>Yian</w:t>
            </w:r>
            <w:proofErr w:type="spellEnd"/>
            <w:r w:rsidRPr="008F5C37">
              <w:rPr>
                <w:color w:val="000000"/>
                <w:lang w:val="en-US"/>
              </w:rPr>
              <w:t xml:space="preserve"> y N. Deepak, «Holistic Evaluation of Language </w:t>
            </w:r>
            <w:proofErr w:type="spellStart"/>
            <w:proofErr w:type="gramStart"/>
            <w:r w:rsidRPr="008F5C37">
              <w:rPr>
                <w:color w:val="000000"/>
                <w:lang w:val="en-US"/>
              </w:rPr>
              <w:t>Modelsx</w:t>
            </w:r>
            <w:proofErr w:type="spellEnd"/>
            <w:r w:rsidRPr="008F5C37">
              <w:rPr>
                <w:color w:val="000000"/>
                <w:lang w:val="en-US"/>
              </w:rPr>
              <w:t>,»</w:t>
            </w:r>
            <w:proofErr w:type="gramEnd"/>
            <w:r w:rsidRPr="008F5C37">
              <w:rPr>
                <w:color w:val="000000"/>
                <w:lang w:val="en-US"/>
              </w:rPr>
              <w:t xml:space="preserve"> </w:t>
            </w:r>
            <w:proofErr w:type="spellStart"/>
            <w:r w:rsidRPr="008F5C37">
              <w:rPr>
                <w:color w:val="000000"/>
                <w:lang w:val="en-US"/>
              </w:rPr>
              <w:t>Arxiv</w:t>
            </w:r>
            <w:proofErr w:type="spellEnd"/>
            <w:r w:rsidRPr="008F5C37">
              <w:rPr>
                <w:color w:val="000000"/>
                <w:lang w:val="en-US"/>
              </w:rPr>
              <w:t>, vol. v2, nº https://doi.org/10.48550/arXiv.2211.09110, p. 162, 2022.</w:t>
            </w:r>
          </w:p>
        </w:tc>
      </w:tr>
      <w:tr w:rsidR="00101272" w:rsidRPr="00101272" w14:paraId="568CD9EC" w14:textId="77777777">
        <w:tc>
          <w:tcPr>
            <w:tcW w:w="409" w:type="dxa"/>
          </w:tcPr>
          <w:p w14:paraId="13BDA449" w14:textId="77777777" w:rsidR="00101272" w:rsidRDefault="00101272" w:rsidP="00101272">
            <w:pPr>
              <w:pBdr>
                <w:top w:val="nil"/>
                <w:left w:val="nil"/>
                <w:bottom w:val="nil"/>
                <w:right w:val="nil"/>
                <w:between w:val="nil"/>
              </w:pBdr>
              <w:rPr>
                <w:color w:val="000000"/>
              </w:rPr>
            </w:pPr>
            <w:r>
              <w:rPr>
                <w:color w:val="000000"/>
              </w:rPr>
              <w:t xml:space="preserve">[14] </w:t>
            </w:r>
          </w:p>
        </w:tc>
        <w:tc>
          <w:tcPr>
            <w:tcW w:w="8997" w:type="dxa"/>
          </w:tcPr>
          <w:p w14:paraId="6D544FF8" w14:textId="0C4708FB" w:rsidR="00101272" w:rsidRPr="00C84D19" w:rsidRDefault="00101272" w:rsidP="00101272">
            <w:pPr>
              <w:pBdr>
                <w:top w:val="nil"/>
                <w:left w:val="nil"/>
                <w:bottom w:val="nil"/>
                <w:right w:val="nil"/>
                <w:between w:val="nil"/>
              </w:pBdr>
              <w:jc w:val="left"/>
              <w:rPr>
                <w:color w:val="000000"/>
                <w:lang w:val="en-US"/>
              </w:rPr>
            </w:pPr>
            <w:r w:rsidRPr="00101272">
              <w:rPr>
                <w:noProof/>
                <w:lang w:val="en-US"/>
              </w:rPr>
              <w:t xml:space="preserve">L. Stephanie, H. Jacob y E. Owain, «TruthfulQA: Measuring How Models Mimic Human Falsehoods,» </w:t>
            </w:r>
            <w:r w:rsidRPr="00101272">
              <w:rPr>
                <w:i/>
                <w:iCs/>
                <w:noProof/>
                <w:lang w:val="en-US"/>
              </w:rPr>
              <w:t xml:space="preserve">Arvix, </w:t>
            </w:r>
            <w:r w:rsidRPr="00101272">
              <w:rPr>
                <w:noProof/>
                <w:lang w:val="en-US"/>
              </w:rPr>
              <w:t xml:space="preserve">vol. v1, nº https://doi.org/10.48550/arXiv.2109.07958, p. 39, 2021. </w:t>
            </w:r>
          </w:p>
        </w:tc>
      </w:tr>
      <w:tr w:rsidR="00834E34" w:rsidRPr="00101272" w14:paraId="5197A8E4" w14:textId="77777777">
        <w:tc>
          <w:tcPr>
            <w:tcW w:w="409" w:type="dxa"/>
          </w:tcPr>
          <w:p w14:paraId="7491243F" w14:textId="77777777" w:rsidR="00834E34" w:rsidRDefault="00E0544B">
            <w:pPr>
              <w:pBdr>
                <w:top w:val="nil"/>
                <w:left w:val="nil"/>
                <w:bottom w:val="nil"/>
                <w:right w:val="nil"/>
                <w:between w:val="nil"/>
              </w:pBdr>
              <w:rPr>
                <w:color w:val="000000"/>
              </w:rPr>
            </w:pPr>
            <w:bookmarkStart w:id="31" w:name="_Hlk215678205"/>
            <w:r>
              <w:rPr>
                <w:color w:val="000000"/>
              </w:rPr>
              <w:t xml:space="preserve">[15] </w:t>
            </w:r>
          </w:p>
        </w:tc>
        <w:tc>
          <w:tcPr>
            <w:tcW w:w="8997" w:type="dxa"/>
          </w:tcPr>
          <w:p w14:paraId="7F288C34" w14:textId="3E342E78" w:rsidR="00834E34" w:rsidRPr="00C84D19" w:rsidRDefault="00D23195">
            <w:pPr>
              <w:pBdr>
                <w:top w:val="nil"/>
                <w:left w:val="nil"/>
                <w:bottom w:val="nil"/>
                <w:right w:val="nil"/>
                <w:between w:val="nil"/>
              </w:pBdr>
              <w:jc w:val="left"/>
              <w:rPr>
                <w:color w:val="000000"/>
                <w:lang w:val="en-US"/>
              </w:rPr>
            </w:pPr>
            <w:r w:rsidRPr="00D23195">
              <w:rPr>
                <w:noProof/>
                <w:lang w:val="en-US"/>
              </w:rPr>
              <w:t xml:space="preserve">K. Jan, C. Igor, K. Oliwier, K. Mateusz y S. Dominika, «ChatGPT: Jack of all trades, master of none,» </w:t>
            </w:r>
            <w:r w:rsidRPr="00D23195">
              <w:rPr>
                <w:i/>
                <w:iCs/>
                <w:noProof/>
                <w:lang w:val="en-US"/>
              </w:rPr>
              <w:t xml:space="preserve">Arvix, </w:t>
            </w:r>
            <w:r w:rsidRPr="00D23195">
              <w:rPr>
                <w:noProof/>
                <w:lang w:val="en-US"/>
              </w:rPr>
              <w:t>vol. v1, nº https://doi.org/10.1016/j.inffus.2023.101861, p. 46, 2023.</w:t>
            </w:r>
          </w:p>
        </w:tc>
      </w:tr>
      <w:bookmarkEnd w:id="31"/>
      <w:tr w:rsidR="00834E34" w:rsidRPr="00101272" w14:paraId="7EE42DD3" w14:textId="77777777">
        <w:tc>
          <w:tcPr>
            <w:tcW w:w="409" w:type="dxa"/>
          </w:tcPr>
          <w:p w14:paraId="4237125D" w14:textId="77777777" w:rsidR="00834E34" w:rsidRDefault="00E0544B">
            <w:pPr>
              <w:pBdr>
                <w:top w:val="nil"/>
                <w:left w:val="nil"/>
                <w:bottom w:val="nil"/>
                <w:right w:val="nil"/>
                <w:between w:val="nil"/>
              </w:pBdr>
              <w:rPr>
                <w:color w:val="000000"/>
              </w:rPr>
            </w:pPr>
            <w:r>
              <w:rPr>
                <w:color w:val="000000"/>
              </w:rPr>
              <w:t xml:space="preserve">[16] </w:t>
            </w:r>
          </w:p>
        </w:tc>
        <w:tc>
          <w:tcPr>
            <w:tcW w:w="8997" w:type="dxa"/>
          </w:tcPr>
          <w:p w14:paraId="55C843F7" w14:textId="4F3B9A8E" w:rsidR="00834E34" w:rsidRPr="00C84D19" w:rsidRDefault="00101272">
            <w:pPr>
              <w:pBdr>
                <w:top w:val="nil"/>
                <w:left w:val="nil"/>
                <w:bottom w:val="nil"/>
                <w:right w:val="nil"/>
                <w:between w:val="nil"/>
              </w:pBdr>
              <w:jc w:val="left"/>
              <w:rPr>
                <w:color w:val="000000"/>
                <w:lang w:val="en-US"/>
              </w:rPr>
            </w:pPr>
            <w:r w:rsidRPr="00101272">
              <w:rPr>
                <w:noProof/>
                <w:lang w:val="en-US"/>
              </w:rPr>
              <w:t xml:space="preserve">G. Suyu, L. Xihui, Z. Yunan, H. Jiawei y P. Hao, «A Little Goes a Long Way: Efficient Long Context Training and Inference with Partial Contexts,» </w:t>
            </w:r>
            <w:r w:rsidRPr="00101272">
              <w:rPr>
                <w:i/>
                <w:iCs/>
                <w:noProof/>
                <w:lang w:val="en-US"/>
              </w:rPr>
              <w:t xml:space="preserve">Arvix, </w:t>
            </w:r>
            <w:r w:rsidRPr="00101272">
              <w:rPr>
                <w:noProof/>
                <w:lang w:val="en-US"/>
              </w:rPr>
              <w:t>vol. v1, nº https://doi.org/10.48550/arXiv.2410.01485, p. 14, 2024.</w:t>
            </w:r>
          </w:p>
        </w:tc>
      </w:tr>
      <w:tr w:rsidR="00101272" w:rsidRPr="00101272" w14:paraId="1D362035" w14:textId="77777777">
        <w:tc>
          <w:tcPr>
            <w:tcW w:w="409" w:type="dxa"/>
          </w:tcPr>
          <w:p w14:paraId="12BEE25A" w14:textId="77777777" w:rsidR="00101272" w:rsidRDefault="00101272" w:rsidP="00101272">
            <w:pPr>
              <w:pBdr>
                <w:top w:val="nil"/>
                <w:left w:val="nil"/>
                <w:bottom w:val="nil"/>
                <w:right w:val="nil"/>
                <w:between w:val="nil"/>
              </w:pBdr>
              <w:rPr>
                <w:color w:val="000000"/>
              </w:rPr>
            </w:pPr>
            <w:r>
              <w:rPr>
                <w:color w:val="000000"/>
              </w:rPr>
              <w:t xml:space="preserve">[17] </w:t>
            </w:r>
          </w:p>
        </w:tc>
        <w:tc>
          <w:tcPr>
            <w:tcW w:w="8997" w:type="dxa"/>
          </w:tcPr>
          <w:p w14:paraId="3FFE6359" w14:textId="00637080" w:rsidR="00101272" w:rsidRPr="00C84D19" w:rsidRDefault="00101272" w:rsidP="00101272">
            <w:pPr>
              <w:pBdr>
                <w:top w:val="nil"/>
                <w:left w:val="nil"/>
                <w:bottom w:val="nil"/>
                <w:right w:val="nil"/>
                <w:between w:val="nil"/>
              </w:pBdr>
              <w:jc w:val="left"/>
              <w:rPr>
                <w:color w:val="000000"/>
                <w:lang w:val="en-US"/>
              </w:rPr>
            </w:pPr>
            <w:r w:rsidRPr="00101272">
              <w:rPr>
                <w:noProof/>
                <w:lang w:val="en-US"/>
              </w:rPr>
              <w:t xml:space="preserve">L. Yucheng, D. Bo, L. Chenghua y G. Frank, «Compressing Context to Enhance Inference Efficiency of Large Language Models,» </w:t>
            </w:r>
            <w:r w:rsidRPr="00101272">
              <w:rPr>
                <w:i/>
                <w:iCs/>
                <w:noProof/>
                <w:lang w:val="en-US"/>
              </w:rPr>
              <w:t xml:space="preserve">Arvix, </w:t>
            </w:r>
            <w:r w:rsidRPr="00101272">
              <w:rPr>
                <w:noProof/>
                <w:lang w:val="en-US"/>
              </w:rPr>
              <w:t xml:space="preserve">vol. v1, nº https://doi.org/10.48550/arXiv.2310.06201, p. 12, 2023. </w:t>
            </w:r>
          </w:p>
        </w:tc>
      </w:tr>
    </w:tbl>
    <w:p w14:paraId="7CC1D634" w14:textId="59A7BD84" w:rsidR="008F5C37" w:rsidRPr="005116F8" w:rsidRDefault="008F5C37" w:rsidP="005116F8">
      <w:pPr>
        <w:pStyle w:val="Ttulo1"/>
        <w:ind w:left="0" w:firstLine="0"/>
      </w:pPr>
    </w:p>
    <w:sectPr w:rsidR="008F5C37" w:rsidRPr="005116F8">
      <w:headerReference w:type="default" r:id="rId9"/>
      <w:pgSz w:w="12240" w:h="15840"/>
      <w:pgMar w:top="1417" w:right="1417" w:bottom="1417" w:left="1417" w:header="0"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9B81B9" w14:textId="77777777" w:rsidR="002F47C9" w:rsidRDefault="002F47C9">
      <w:pPr>
        <w:spacing w:before="0" w:after="0"/>
      </w:pPr>
      <w:r>
        <w:separator/>
      </w:r>
    </w:p>
  </w:endnote>
  <w:endnote w:type="continuationSeparator" w:id="0">
    <w:p w14:paraId="00DCD19A" w14:textId="77777777" w:rsidR="002F47C9" w:rsidRDefault="002F47C9">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BC111DC8-F07B-4C50-A662-C74299020DFD}"/>
    <w:embedBold r:id="rId2" w:fontKey="{6A3D8A95-5484-4BCB-B32C-351EF3844B58}"/>
    <w:embedBoldItalic r:id="rId3" w:fontKey="{2AD156EC-6C5A-49A7-AF66-2DE6005C4C60}"/>
  </w:font>
  <w:font w:name="Georgia">
    <w:panose1 w:val="02040502050405020303"/>
    <w:charset w:val="00"/>
    <w:family w:val="roman"/>
    <w:pitch w:val="variable"/>
    <w:sig w:usb0="00000287" w:usb1="00000000" w:usb2="00000000" w:usb3="00000000" w:csb0="0000009F" w:csb1="00000000"/>
    <w:embedItalic r:id="rId4" w:fontKey="{3682E186-0E92-4E7C-86E8-0EB3AF7C75CD}"/>
  </w:font>
  <w:font w:name="Calibri">
    <w:panose1 w:val="020F0502020204030204"/>
    <w:charset w:val="00"/>
    <w:family w:val="swiss"/>
    <w:pitch w:val="variable"/>
    <w:sig w:usb0="E4002EFF" w:usb1="C000247B" w:usb2="00000009" w:usb3="00000000" w:csb0="000001FF" w:csb1="00000000"/>
    <w:embedRegular r:id="rId5" w:fontKey="{C3A68D32-8BCA-4FC8-80AC-F95BA07E51A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AA14E1" w14:textId="77777777" w:rsidR="002F47C9" w:rsidRDefault="002F47C9">
      <w:pPr>
        <w:spacing w:before="0" w:after="0"/>
      </w:pPr>
      <w:r>
        <w:separator/>
      </w:r>
    </w:p>
  </w:footnote>
  <w:footnote w:type="continuationSeparator" w:id="0">
    <w:p w14:paraId="5E217724" w14:textId="77777777" w:rsidR="002F47C9" w:rsidRDefault="002F47C9">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9F7FF" w14:textId="77777777" w:rsidR="00834E34" w:rsidRDefault="00834E3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C4B57"/>
    <w:multiLevelType w:val="multilevel"/>
    <w:tmpl w:val="FF8671D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i/>
        <w:i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4E34"/>
    <w:rsid w:val="00101272"/>
    <w:rsid w:val="002F47C9"/>
    <w:rsid w:val="005116F8"/>
    <w:rsid w:val="005F6EE9"/>
    <w:rsid w:val="00834E34"/>
    <w:rsid w:val="008F5C37"/>
    <w:rsid w:val="00C84D19"/>
    <w:rsid w:val="00D23195"/>
    <w:rsid w:val="00E0544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18E2EC"/>
  <w15:docId w15:val="{5CF790E9-DEB1-4415-BB01-375681F65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s" w:eastAsia="es-MX" w:bidi="ar-SA"/>
      </w:rPr>
    </w:rPrDefault>
    <w:pPrDefault>
      <w:pPr>
        <w:spacing w:before="120"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pPr>
      <w:keepNext/>
      <w:pBdr>
        <w:top w:val="nil"/>
        <w:left w:val="nil"/>
        <w:bottom w:val="nil"/>
        <w:right w:val="nil"/>
        <w:between w:val="nil"/>
      </w:pBdr>
      <w:spacing w:before="360" w:after="60"/>
      <w:ind w:left="432" w:hanging="432"/>
      <w:jc w:val="left"/>
      <w:outlineLvl w:val="0"/>
    </w:pPr>
    <w:rPr>
      <w:b/>
      <w:bCs/>
      <w:smallCaps/>
      <w:color w:val="000000"/>
      <w:sz w:val="24"/>
      <w:szCs w:val="24"/>
    </w:rPr>
  </w:style>
  <w:style w:type="paragraph" w:styleId="Ttulo2">
    <w:name w:val="heading 2"/>
    <w:basedOn w:val="Normal"/>
    <w:next w:val="Normal"/>
    <w:uiPriority w:val="9"/>
    <w:unhideWhenUsed/>
    <w:qFormat/>
    <w:pPr>
      <w:keepNext/>
      <w:pBdr>
        <w:top w:val="nil"/>
        <w:left w:val="nil"/>
        <w:bottom w:val="nil"/>
        <w:right w:val="nil"/>
        <w:between w:val="nil"/>
      </w:pBdr>
      <w:spacing w:before="240" w:after="60"/>
      <w:ind w:left="576" w:hanging="576"/>
      <w:jc w:val="left"/>
      <w:outlineLvl w:val="1"/>
    </w:pPr>
    <w:rPr>
      <w:b/>
      <w:bCs/>
      <w:color w:val="000000"/>
      <w:sz w:val="24"/>
      <w:szCs w:val="24"/>
    </w:rPr>
  </w:style>
  <w:style w:type="paragraph" w:styleId="Ttulo3">
    <w:name w:val="heading 3"/>
    <w:basedOn w:val="Normal"/>
    <w:next w:val="Normal"/>
    <w:uiPriority w:val="9"/>
    <w:unhideWhenUsed/>
    <w:qFormat/>
    <w:pPr>
      <w:keepNext/>
      <w:shd w:val="clear" w:color="auto" w:fill="FFFFFF"/>
      <w:spacing w:before="340" w:after="240"/>
      <w:ind w:left="720"/>
      <w:jc w:val="left"/>
      <w:outlineLvl w:val="2"/>
    </w:pPr>
    <w:rPr>
      <w:i/>
      <w:iCs/>
      <w:sz w:val="22"/>
      <w:szCs w:val="22"/>
    </w:rPr>
  </w:style>
  <w:style w:type="paragraph" w:styleId="Ttulo4">
    <w:name w:val="heading 4"/>
    <w:basedOn w:val="Normal"/>
    <w:next w:val="Normal"/>
    <w:uiPriority w:val="9"/>
    <w:semiHidden/>
    <w:unhideWhenUsed/>
    <w:qFormat/>
    <w:pPr>
      <w:keepNext/>
      <w:spacing w:before="240" w:after="60"/>
      <w:ind w:left="864" w:hanging="864"/>
      <w:outlineLvl w:val="3"/>
    </w:pPr>
    <w:rPr>
      <w:rFonts w:ascii="Cambria" w:eastAsia="Cambria" w:hAnsi="Cambria" w:cs="Cambria"/>
      <w:b/>
      <w:bCs/>
      <w:sz w:val="28"/>
      <w:szCs w:val="28"/>
    </w:rPr>
  </w:style>
  <w:style w:type="paragraph" w:styleId="Ttulo5">
    <w:name w:val="heading 5"/>
    <w:basedOn w:val="Normal"/>
    <w:next w:val="Normal"/>
    <w:uiPriority w:val="9"/>
    <w:semiHidden/>
    <w:unhideWhenUsed/>
    <w:qFormat/>
    <w:pPr>
      <w:spacing w:before="240" w:after="60"/>
      <w:ind w:left="1008" w:hanging="1008"/>
      <w:outlineLvl w:val="4"/>
    </w:pPr>
    <w:rPr>
      <w:rFonts w:ascii="Cambria" w:eastAsia="Cambria" w:hAnsi="Cambria" w:cs="Cambria"/>
      <w:b/>
      <w:bCs/>
      <w:i/>
      <w:iCs/>
      <w:sz w:val="26"/>
      <w:szCs w:val="26"/>
    </w:rPr>
  </w:style>
  <w:style w:type="paragraph" w:styleId="Ttulo6">
    <w:name w:val="heading 6"/>
    <w:basedOn w:val="Normal"/>
    <w:next w:val="Normal"/>
    <w:uiPriority w:val="9"/>
    <w:semiHidden/>
    <w:unhideWhenUsed/>
    <w:qFormat/>
    <w:pPr>
      <w:spacing w:before="240" w:after="60"/>
      <w:ind w:left="1152" w:hanging="1152"/>
      <w:outlineLvl w:val="5"/>
    </w:pPr>
    <w:rPr>
      <w:rFonts w:ascii="Cambria" w:eastAsia="Cambria" w:hAnsi="Cambria" w:cs="Cambria"/>
      <w:b/>
      <w:bCs/>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spacing w:before="480"/>
      <w:jc w:val="center"/>
    </w:pPr>
    <w:rPr>
      <w:b/>
      <w:bCs/>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CellMar>
        <w:top w:w="15" w:type="dxa"/>
        <w:left w:w="15" w:type="dxa"/>
        <w:bottom w:w="15" w:type="dxa"/>
        <w:right w:w="15" w:type="dxa"/>
      </w:tblCellMar>
    </w:tblPr>
  </w:style>
  <w:style w:type="character" w:customStyle="1" w:styleId="Ttulo1Car">
    <w:name w:val="Título 1 Car"/>
    <w:basedOn w:val="Fuentedeprrafopredeter"/>
    <w:link w:val="Ttulo1"/>
    <w:uiPriority w:val="9"/>
    <w:rsid w:val="008F5C37"/>
    <w:rPr>
      <w:b/>
      <w:bCs/>
      <w:smallCaps/>
      <w:color w:val="000000"/>
      <w:sz w:val="24"/>
      <w:szCs w:val="24"/>
    </w:rPr>
  </w:style>
  <w:style w:type="paragraph" w:styleId="Bibliografa">
    <w:name w:val="Bibliography"/>
    <w:basedOn w:val="Normal"/>
    <w:next w:val="Normal"/>
    <w:uiPriority w:val="37"/>
    <w:unhideWhenUsed/>
    <w:rsid w:val="001012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791565">
      <w:bodyDiv w:val="1"/>
      <w:marLeft w:val="0"/>
      <w:marRight w:val="0"/>
      <w:marTop w:val="0"/>
      <w:marBottom w:val="0"/>
      <w:divBdr>
        <w:top w:val="none" w:sz="0" w:space="0" w:color="auto"/>
        <w:left w:val="none" w:sz="0" w:space="0" w:color="auto"/>
        <w:bottom w:val="none" w:sz="0" w:space="0" w:color="auto"/>
        <w:right w:val="none" w:sz="0" w:space="0" w:color="auto"/>
      </w:divBdr>
    </w:div>
    <w:div w:id="199438074">
      <w:bodyDiv w:val="1"/>
      <w:marLeft w:val="0"/>
      <w:marRight w:val="0"/>
      <w:marTop w:val="0"/>
      <w:marBottom w:val="0"/>
      <w:divBdr>
        <w:top w:val="none" w:sz="0" w:space="0" w:color="auto"/>
        <w:left w:val="none" w:sz="0" w:space="0" w:color="auto"/>
        <w:bottom w:val="none" w:sz="0" w:space="0" w:color="auto"/>
        <w:right w:val="none" w:sz="0" w:space="0" w:color="auto"/>
      </w:divBdr>
    </w:div>
    <w:div w:id="231231982">
      <w:bodyDiv w:val="1"/>
      <w:marLeft w:val="0"/>
      <w:marRight w:val="0"/>
      <w:marTop w:val="0"/>
      <w:marBottom w:val="0"/>
      <w:divBdr>
        <w:top w:val="none" w:sz="0" w:space="0" w:color="auto"/>
        <w:left w:val="none" w:sz="0" w:space="0" w:color="auto"/>
        <w:bottom w:val="none" w:sz="0" w:space="0" w:color="auto"/>
        <w:right w:val="none" w:sz="0" w:space="0" w:color="auto"/>
      </w:divBdr>
    </w:div>
    <w:div w:id="945042775">
      <w:bodyDiv w:val="1"/>
      <w:marLeft w:val="0"/>
      <w:marRight w:val="0"/>
      <w:marTop w:val="0"/>
      <w:marBottom w:val="0"/>
      <w:divBdr>
        <w:top w:val="none" w:sz="0" w:space="0" w:color="auto"/>
        <w:left w:val="none" w:sz="0" w:space="0" w:color="auto"/>
        <w:bottom w:val="none" w:sz="0" w:space="0" w:color="auto"/>
        <w:right w:val="none" w:sz="0" w:space="0" w:color="auto"/>
      </w:divBdr>
    </w:div>
    <w:div w:id="10533820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lejournal.springeropen.com/articles/10.1186/s40561-024-00310-z?utm_source=chatgpt.com"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Ste21</b:Tag>
    <b:SourceType>JournalArticle</b:SourceType>
    <b:Guid>{F1405E4A-EB51-404B-9E46-5AC875CE1E86}</b:Guid>
    <b:Author>
      <b:Author>
        <b:NameList>
          <b:Person>
            <b:Last>Stephanie</b:Last>
            <b:First>Lin</b:First>
          </b:Person>
          <b:Person>
            <b:Last>Jacob</b:Last>
            <b:First>Hilton</b:First>
          </b:Person>
          <b:Person>
            <b:Last>Owain</b:Last>
            <b:First>Evans</b:First>
          </b:Person>
        </b:NameList>
      </b:Author>
    </b:Author>
    <b:Title>TruthfulQA: Measuring How Models Mimic Human Falsehoods</b:Title>
    <b:JournalName>Arvix</b:JournalName>
    <b:Year>2021</b:Year>
    <b:Pages>39</b:Pages>
    <b:Volume>v1</b:Volume>
    <b:Issue>https://doi.org/10.48550/arXiv.2109.07958</b:Issue>
    <b:RefOrder>1</b:RefOrder>
  </b:Source>
  <b:Source>
    <b:Tag>Suy24</b:Tag>
    <b:SourceType>JournalArticle</b:SourceType>
    <b:Guid>{9CEC6CA1-13BC-4078-A4AA-CF002EF6B3FE}</b:Guid>
    <b:Author>
      <b:Author>
        <b:NameList>
          <b:Person>
            <b:Last>Suyu</b:Last>
            <b:First>Ge</b:First>
          </b:Person>
          <b:Person>
            <b:Last>Xihui</b:Last>
            <b:First>Lin</b:First>
          </b:Person>
          <b:Person>
            <b:Last>Yunan</b:Last>
            <b:First>Zhang</b:First>
          </b:Person>
          <b:Person>
            <b:Last>Jiawei</b:Last>
            <b:First>Han</b:First>
          </b:Person>
          <b:Person>
            <b:Last>Hao</b:Last>
            <b:First>Peng</b:First>
          </b:Person>
        </b:NameList>
      </b:Author>
    </b:Author>
    <b:Title>A Little Goes a Long Way: Efficient Long Context Training and Inference with Partial Contexts</b:Title>
    <b:JournalName>Arvix</b:JournalName>
    <b:Year>2024</b:Year>
    <b:Pages>14</b:Pages>
    <b:Volume>v1</b:Volume>
    <b:Issue>https://doi.org/10.48550/arXiv.2410.01485</b:Issue>
    <b:RefOrder>2</b:RefOrder>
  </b:Source>
  <b:Source>
    <b:Tag>Yuc23</b:Tag>
    <b:SourceType>JournalArticle</b:SourceType>
    <b:Guid>{3C2E6320-B376-424B-AA6F-4E612891DBB1}</b:Guid>
    <b:Author>
      <b:Author>
        <b:NameList>
          <b:Person>
            <b:Last>Yucheng</b:Last>
            <b:First>Li</b:First>
          </b:Person>
          <b:Person>
            <b:Last>Bo</b:Last>
            <b:First>Dong</b:First>
          </b:Person>
          <b:Person>
            <b:Last>Chenghua</b:Last>
            <b:First>Lin</b:First>
          </b:Person>
          <b:Person>
            <b:Last>Frank</b:Last>
            <b:First>Guerin</b:First>
          </b:Person>
        </b:NameList>
      </b:Author>
    </b:Author>
    <b:Title>Compressing Context to Enhance Inference Efficiency of Large Language Models</b:Title>
    <b:JournalName>Arvix</b:JournalName>
    <b:Year>2023</b:Year>
    <b:Pages>12</b:Pages>
    <b:Volume>v1</b:Volume>
    <b:Issue>https://doi.org/10.48550/arXiv.2310.06201</b:Issue>
    <b:RefOrder>3</b:RefOrder>
  </b:Source>
  <b:Source>
    <b:Tag>Jan231</b:Tag>
    <b:SourceType>JournalArticle</b:SourceType>
    <b:Guid>{6D652C99-61A3-435D-AA32-1A1B6A6FE1C2}</b:Guid>
    <b:Author>
      <b:Author>
        <b:NameList>
          <b:Person>
            <b:Last>Jan</b:Last>
            <b:First>Kocoń</b:First>
          </b:Person>
          <b:Person>
            <b:Last>Igor</b:Last>
            <b:First>Cicheck</b:First>
          </b:Person>
          <b:Person>
            <b:Last>Oliwier</b:Last>
            <b:First>Kaszyca</b:First>
          </b:Person>
          <b:Person>
            <b:Last>Mateusz</b:Last>
            <b:First>Kochanek</b:First>
          </b:Person>
          <b:Person>
            <b:Last>Dominika</b:Last>
            <b:First>Szydło</b:First>
          </b:Person>
        </b:NameList>
      </b:Author>
    </b:Author>
    <b:Title>ChatGPT: Jack of all trades, master of none</b:Title>
    <b:JournalName>Arvix</b:JournalName>
    <b:Year>2023</b:Year>
    <b:Pages>46</b:Pages>
    <b:Volume>v1</b:Volume>
    <b:Issue>https://doi.org/10.1016/j.inffus.2023.101861</b:Issue>
    <b:RefOrder>4</b:RefOrder>
  </b:Source>
</b:Sources>
</file>

<file path=customXml/itemProps1.xml><?xml version="1.0" encoding="utf-8"?>
<ds:datastoreItem xmlns:ds="http://schemas.openxmlformats.org/officeDocument/2006/customXml" ds:itemID="{57D1B9CD-059F-4463-9BAC-8B4BDDA029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9</Pages>
  <Words>4241</Words>
  <Characters>23326</Characters>
  <Application>Microsoft Office Word</Application>
  <DocSecurity>0</DocSecurity>
  <Lines>194</Lines>
  <Paragraphs>55</Paragraphs>
  <ScaleCrop>false</ScaleCrop>
  <HeadingPairs>
    <vt:vector size="4" baseType="variant">
      <vt:variant>
        <vt:lpstr>Título</vt:lpstr>
      </vt:variant>
      <vt:variant>
        <vt:i4>1</vt:i4>
      </vt:variant>
      <vt:variant>
        <vt:lpstr>Títulos</vt:lpstr>
      </vt:variant>
      <vt:variant>
        <vt:i4>37</vt:i4>
      </vt:variant>
    </vt:vector>
  </HeadingPairs>
  <TitlesOfParts>
    <vt:vector size="38" baseType="lpstr">
      <vt:lpstr/>
      <vt:lpstr>INTRODUCCIÓN</vt:lpstr>
      <vt:lpstr>    Fundamentos de sistemas de diálogo</vt:lpstr>
      <vt:lpstr>        Definición y cómo funciona en entornos conversacionales</vt:lpstr>
      <vt:lpstr>        Modalidades de asesoramiento</vt:lpstr>
      <vt:lpstr>        Accesibilidad y flexibilidad de uso según el registro</vt:lpstr>
      <vt:lpstr>        Factores de evaluación en un sistema conversacional</vt:lpstr>
      <vt:lpstr>METODOLOGÍA</vt:lpstr>
      <vt:lpstr>    Diseño del plan de acción</vt:lpstr>
      <vt:lpstr>    Recolección de evidencia</vt:lpstr>
      <vt:lpstr>    Sistema de calificación</vt:lpstr>
      <vt:lpstr>    Organizar los datos</vt:lpstr>
      <vt:lpstr>RESULTADOS</vt:lpstr>
      <vt:lpstr>    Análisis de la situación actual de México</vt:lpstr>
      <vt:lpstr>        ChatGPT </vt:lpstr>
      <vt:lpstr>        DeepSeek</vt:lpstr>
      <vt:lpstr>        Gemini</vt:lpstr>
      <vt:lpstr>        Kimi</vt:lpstr>
      <vt:lpstr>    Solución a problemas complejos </vt:lpstr>
      <vt:lpstr>        ChatGPT</vt:lpstr>
      <vt:lpstr>        DeepSeek.</vt:lpstr>
      <vt:lpstr>        Gemini</vt:lpstr>
      <vt:lpstr>        Kimi</vt:lpstr>
      <vt:lpstr>    Análisis comparativo de la IA frente a problemas políticos</vt:lpstr>
      <vt:lpstr>        ChatGPT</vt:lpstr>
      <vt:lpstr>        DeepSeek</vt:lpstr>
      <vt:lpstr>        Gemini</vt:lpstr>
      <vt:lpstr>        Kimi</vt:lpstr>
      <vt:lpstr>    Fundamentos de física teórica avanzada</vt:lpstr>
      <vt:lpstr>        ChatGPT</vt:lpstr>
      <vt:lpstr>        DeepSeek</vt:lpstr>
      <vt:lpstr>        Gemini</vt:lpstr>
      <vt:lpstr>        Kimi</vt:lpstr>
      <vt:lpstr>    Capacidad de la IA para resolver los problemas matemáticos complejos</vt:lpstr>
      <vt:lpstr>        Consenso emergente</vt:lpstr>
      <vt:lpstr>        Tabla 5. El Potencial de la IA en los Problemas del Milenio.</vt:lpstr>
      <vt:lpstr>CONCLUSIONES</vt:lpstr>
      <vt:lpstr>&lt;Bibliografía</vt:lpstr>
    </vt:vector>
  </TitlesOfParts>
  <Company/>
  <LinksUpToDate>false</LinksUpToDate>
  <CharactersWithSpaces>27512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JACINTO LEONARDO CARO MORALES</cp:lastModifiedBy>
  <cp:revision>5</cp:revision>
  <dcterms:created xsi:type="dcterms:W3CDTF">2025-12-04T00:50:00Z</dcterms:created>
  <dcterms:modified xsi:type="dcterms:W3CDTF">2025-12-04T01:20:00Z</dcterms:modified>
</cp:coreProperties>
</file>